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Empirical Validation of Geo-SMILE in Hull: Random-Donor Geo Design</w:t>
      </w:r>
    </w:p>
    <w:p>
      <w:pPr>
        <w:spacing w:after="120"/>
      </w:pPr>
      <w:r>
        <w:rPr>
          <w:i/>
          <w:iCs/>
        </w:rPr>
        <w:t xml:space="preserve">Chapter 4 results recomputed under the random-donor (absolute) Geo branch</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20"/>
      </w:pPr>
      <w:r>
        <w:t xml:space="preserve">This report recomputes every Chapter 4 result for Kingston upon Hull under a Geo branch aligned with the Seattle and Chicago designs. One XGBoost model is trained on the 30 predictors plus the British National Grid centroid easting and northing. The Feature branch masks only the 30 predictors and keeps every row's true coordinates; the Geo branch relocates the coordinates of masked LSOAs and keeps all 30 predictors. Instead of moving a masked LSOA to a single median point, each masked LSOA receives the centroid of a randomly drawn other Hull LSOA, and the response is averaged over K = 50 donor draws.</w:t>
      </w:r>
    </w:p>
    <w:p>
      <w:pPr>
        <w:pStyle w:val="ListParagraph"/>
        <w:numPr>
          <w:ilvl w:val="0"/>
          <w:numId w:val="2"/>
        </w:numPr>
        <w:spacing w:after="60"/>
      </w:pPr>
      <w:r>
        <w:t xml:space="preserve">Fidelity is high in both branches: Feature R² = 0.9850, Geo R² = 0.9296 at N = 4,000.</w:t>
      </w:r>
    </w:p>
    <w:p>
      <w:pPr>
        <w:pStyle w:val="ListParagraph"/>
        <w:numPr>
          <w:ilvl w:val="0"/>
          <w:numId w:val="2"/>
        </w:numPr>
        <w:spacing w:after="60"/>
      </w:pPr>
      <w:r>
        <w:t xml:space="preserve">The signed Geo coefficient reproduces the exact single-LSOA shift (ρ_s = 0.942); ranking by |β| does not (ρ_s = -0.27).</w:t>
      </w:r>
    </w:p>
    <w:p>
      <w:pPr>
        <w:pStyle w:val="ListParagraph"/>
        <w:numPr>
          <w:ilvl w:val="0"/>
          <w:numId w:val="2"/>
        </w:numPr>
        <w:spacing w:after="60"/>
      </w:pPr>
      <w:r>
        <w:t xml:space="preserve">Geo sensitivity concentrates on Old Town (029E) and the city-centre, Dairycoates and Hessle Road corridor, with significant clustering (Moran's I = 0.242, p = 0.001).</w:t>
      </w:r>
    </w:p>
    <w:p>
      <w:pPr>
        <w:pStyle w:val="ListParagraph"/>
        <w:numPr>
          <w:ilvl w:val="0"/>
          <w:numId w:val="2"/>
        </w:numPr>
        <w:spacing w:after="60"/>
      </w:pPr>
      <w:r>
        <w:t xml:space="preserve">ATT accuracy: Feature 7/10; Geo 16/20 inside the expert-highlighted regions (lift 2.32, p = 1.2e-5).</w:t>
      </w:r>
    </w:p>
    <w:p>
      <w:pPr>
        <w:pStyle w:val="ListParagraph"/>
        <w:numPr>
          <w:ilvl w:val="0"/>
          <w:numId w:val="2"/>
        </w:numPr>
        <w:spacing w:after="60"/>
      </w:pPr>
      <w:r>
        <w:t xml:space="preserve">Stability is complete (top-20 Jaccard 1.000 in all four directions) and consistency is good (rank ρ = 0.904).</w:t>
      </w:r>
    </w:p>
    <w:p>
      <w:pPr>
        <w:pStyle w:val="ListParagraph"/>
        <w:numPr>
          <w:ilvl w:val="0"/>
          <w:numId w:val="2"/>
        </w:numPr>
        <w:spacing w:after="60"/>
      </w:pPr>
      <w:r>
        <w:t xml:space="preserve">ATT Faithfulness, the cross-model correlation between predictive R² and attribution quality, is not demonstrated in either branch.</w:t>
      </w:r>
    </w:p>
    <w:p>
      <w:pPr>
        <w:pStyle w:val="ListParagraph"/>
        <w:numPr>
          <w:ilvl w:val="0"/>
          <w:numId w:val="2"/>
        </w:numPr>
        <w:spacing w:after="60"/>
      </w:pPr>
      <w:r>
        <w:t xml:space="preserve">Interpretive caveat: because the model uses a Poisson (log-link) objective, a relocation changes predictions roughly proportionally, so absolute shifts are larger where predicted crime is higher. The Geo ranking correlates with mean crime level at ρ = 0.79. The coefficient therefore measures where uncertainty about location would change predicted crime most in absolute terms, not where the model depends most on location in relative terms.</w:t>
      </w:r>
    </w:p>
    <w:p>
      <w:pPr>
        <w:pStyle w:val="Heading1"/>
      </w:pPr>
      <w:r>
        <w:t xml:space="preserve">2. Study design</w:t>
      </w:r>
    </w:p>
    <w:p>
      <w:pPr>
        <w:pStyle w:val="Heading2"/>
      </w:pPr>
      <w:r>
        <w:t xml:space="preserve">2.1 Predictive model and branches</w:t>
      </w:r>
    </w:p>
    <w:p>
      <w:pPr>
        <w:spacing w:after="120"/>
      </w:pPr>
      <w:r>
        <w:t xml:space="preserve">The data, LSOA-month panel, target (next-month recorded crime), chronological split (training to June 2025, validation July–December 2025, test from January 2026) and the 30 predictors are those of Chapter 4. The difference is that the predictive model includes the two centroid coordinates as inputs, as in the Seattle and Chicago experiments, and both branches explain that one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Design element</w:t>
            </w:r>
          </w:p>
        </w:tc>
        <w:tc>
          <w:tcPr>
            <w:tcW w:type="dxa" w:w="3413"/>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Feature branch</w:t>
            </w:r>
          </w:p>
        </w:tc>
        <w:tc>
          <w:tcPr>
            <w:tcW w:type="dxa" w:w="3413"/>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Geo branch</w:t>
            </w:r>
          </w:p>
        </w:tc>
      </w:tr>
      <w:tr>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Predictive model</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XGBoost on 30 predictors + easting/northing</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The same model</w:t>
            </w:r>
          </w:p>
        </w:tc>
      </w:tr>
      <w:tr>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Explanation players</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30 predictors</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168 LSOAs</w:t>
            </w:r>
          </w:p>
        </w:tc>
      </w:tr>
      <w:tr>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Masking</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Masked predictor → training median; coordinates kept</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Masked LSOA's rows → centroid of a random other Hull LSOA; predictors kept</w:t>
            </w:r>
          </w:p>
        </w:tc>
      </w:tr>
      <w:tr>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Draws per perturbation</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K = 50 donor draws, mean response</w:t>
            </w:r>
          </w:p>
        </w:tc>
      </w:tr>
      <w:tr>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Perturbations</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4,000 binary masks</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4,000 coalitions of 5–10 LSOAs</w:t>
            </w:r>
          </w:p>
        </w:tc>
      </w:tr>
      <w:tr>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Response</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Global W1 between prediction distributions</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W1 over affected LSOA-month predictions (crimes/month)</w:t>
            </w:r>
          </w:p>
        </w:tc>
      </w:tr>
      <w:tr>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Surrogate</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Kernel-weighted Ridge, α = 1; 60/20/20 split</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Kernel-weighted Ridge, α = 1; 60/20/20 split</w:t>
            </w:r>
          </w:p>
        </w:tc>
      </w:tr>
      <w:tr>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Importance score</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Absolute coefficient</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Signed coefficient</w:t>
            </w:r>
          </w:p>
        </w:tc>
      </w:tr>
      <w:tr>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Expert reference</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Top 10 of 30</w:t>
            </w:r>
          </w:p>
        </w:tc>
        <w:tc>
          <w:tcPr>
            <w:tcW w:type="dxa" w:w="3413"/>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Top 20 vs 58 LSOAs in expert regions (map 1)</w:t>
            </w:r>
          </w:p>
        </w:tc>
      </w:tr>
    </w:tbl>
    <w:p>
      <w:pPr>
        <w:spacing w:after="200" w:before="60"/>
      </w:pPr>
      <w:r>
        <w:rPr>
          <w:i/>
          <w:iCs/>
          <w:sz w:val="18"/>
          <w:szCs w:val="18"/>
        </w:rPr>
        <w:t xml:space="preserve">Table 1. Final research design for the Feature and Geo branches.</w:t>
      </w:r>
    </w:p>
    <w:p>
      <w:pPr>
        <w:pStyle w:val="Heading2"/>
      </w:pPr>
      <w:r>
        <w:t xml:space="preserve">2.2 Why random donors</w:t>
      </w:r>
    </w:p>
    <w:p>
      <w:pPr>
        <w:spacing w:after="120"/>
      </w:pPr>
      <w:r>
        <w:t xml:space="preserve">Moving every masked LSOA to one median point makes the answer depend on that point: a design check showed that changing the reference point to a city-border location changed the ranking substantially (ρ = 0.25–0.53 with the median-point ranking), and that LSOAs far from the median point were favoured (ρ = 0.22 with the distance moved). Relocating to random real Hull locations averages over all of them, so no single reference point is privileged and the distance bias disappears (ρ = −0.01).</w:t>
      </w:r>
    </w:p>
    <w:p>
      <w:pPr>
        <w:pStyle w:val="Heading2"/>
      </w:pPr>
      <w:r>
        <w:t xml:space="preserve">2.3 Number of donor draws</w:t>
      </w:r>
    </w:p>
    <w:p>
      <w:pPr>
        <w:spacing w:after="120"/>
      </w:pPr>
      <w:r>
        <w:t xml:space="preserve">K was chosen on XGBoost at N = 4,000 as the smallest value with fidelity and consistency within 0.005 of the best value and a ranking Spearman of at least 0.99 with K = 50. No smaller K met all three criteria, so K = 50 is used; consistency was still rising slightly, so the Geo ranking carries more sampling noise than the area-data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2"/>
        <w:gridCol w:w="1906"/>
        <w:gridCol w:w="1906"/>
        <w:gridCol w:w="1906"/>
        <w:gridCol w:w="1906"/>
      </w:tblGrid>
      <w:tr>
        <w:trPr>
          <w:tblHeader/>
        </w:trPr>
        <w:tc>
          <w:tcPr>
            <w:tcW w:type="dxa" w:w="1402"/>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K</w:t>
            </w:r>
          </w:p>
        </w:tc>
        <w:tc>
          <w:tcPr>
            <w:tcW w:type="dxa" w:w="19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Fidelity R²</w:t>
            </w:r>
          </w:p>
        </w:tc>
        <w:tc>
          <w:tcPr>
            <w:tcW w:type="dxa" w:w="19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Consistency rank ρ</w:t>
            </w:r>
          </w:p>
        </w:tc>
        <w:tc>
          <w:tcPr>
            <w:tcW w:type="dxa" w:w="19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Mean SD</w:t>
            </w:r>
          </w:p>
        </w:tc>
        <w:tc>
          <w:tcPr>
            <w:tcW w:type="dxa" w:w="19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ρ with K = 50</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5</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0.8436</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0.817</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0.01100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0.910</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10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0.8712</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0.868</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0.00850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0.951</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20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0.9180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0.892</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0.00754</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0.963</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50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0.9296</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0.904</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0.00668</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1.000</w:t>
            </w:r>
          </w:p>
        </w:tc>
      </w:tr>
    </w:tbl>
    <w:p>
      <w:pPr>
        <w:spacing w:after="200" w:before="60"/>
      </w:pPr>
      <w:r>
        <w:rPr>
          <w:i/>
          <w:iCs/>
          <w:sz w:val="18"/>
          <w:szCs w:val="18"/>
        </w:rPr>
        <w:t xml:space="preserve">Table 2. Selection of the number of donor draws K (XGBoost, N = 4,000).</w:t>
      </w:r>
    </w:p>
    <w:p>
      <w:pPr>
        <w:pStyle w:val="Heading1"/>
      </w:pPr>
      <w:r>
        <w:t xml:space="preserve">3. Selection of the predictive model</w:t>
      </w:r>
    </w:p>
    <w:p>
      <w:pPr>
        <w:pStyle w:val="Heading2"/>
      </w:pPr>
      <w:r>
        <w:t xml:space="preserve">3.1 Stage 1: predictive adequacy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600"/>
        <w:gridCol w:w="1600"/>
        <w:gridCol w:w="1626"/>
      </w:tblGrid>
      <w:tr>
        <w:trPr>
          <w:tblHeader/>
        </w:trPr>
        <w:tc>
          <w:tcPr>
            <w:tcW w:type="dxa" w:w="23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Model</w:t>
            </w:r>
          </w:p>
        </w:tc>
        <w:tc>
          <w:tcPr>
            <w:tcW w:type="dxa" w:w="19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Family</w:t>
            </w:r>
          </w:p>
        </w:tc>
        <w:tc>
          <w:tcPr>
            <w:tcW w:type="dxa" w:w="16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MAE</w:t>
            </w:r>
          </w:p>
        </w:tc>
        <w:tc>
          <w:tcPr>
            <w:tcW w:type="dxa" w:w="16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RMSE</w:t>
            </w:r>
          </w:p>
        </w:tc>
        <w:tc>
          <w:tcPr>
            <w:tcW w:type="dxa" w:w="16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R²</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Gaussian process</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Kernel</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4.6905</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6.7743</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0.8992</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XGBoost</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Tree ensemble</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4.8314</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6.9070</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0.8952</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CatBoost</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Tree ensemble</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4.8823</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6.9604</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0.8936</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LightGBM</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Tree ensemble</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4.8378</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6.9671</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0.8934</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ANN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Neural</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5.2291</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7.4502</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0.8780</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SVR</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Kernel</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5.3326</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7.7652</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0.8675</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CNN</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Neural</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5.6077</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7.9550</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0.8610</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Keras (deep)</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Neural</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5.4915</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9.8131</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0.7884</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Transformer</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Neural</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5.7319</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10.5950</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0.7534</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MLP</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Neural</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6.0692</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14.6685</w:t>
            </w:r>
          </w:p>
        </w:tc>
        <w:tc>
          <w:tcPr>
            <w:tcW w:type="dxa" w:w="16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0.5273</w:t>
            </w:r>
          </w:p>
        </w:tc>
      </w:tr>
    </w:tbl>
    <w:p>
      <w:pPr>
        <w:spacing w:after="200" w:before="60"/>
      </w:pPr>
      <w:r>
        <w:rPr>
          <w:i/>
          <w:iCs/>
          <w:sz w:val="18"/>
          <w:szCs w:val="18"/>
        </w:rPr>
        <w:t xml:space="preserve">Table 3. Held-out predictive performance with the 30 predictors and the two coordinates.</w:t>
      </w:r>
    </w:p>
    <w:p>
      <w:pPr>
        <w:spacing w:after="120"/>
      </w:pPr>
      <w:r>
        <w:t xml:space="preserve">The Gaussian process (R² = 0.8992), XGBoost (0.8952), CatBoost (0.8936) and LightGBM (0.8934) again form a top tier within 0.006 of each other. XGBoost is retained as the reference model.</w:t>
      </w:r>
    </w:p>
    <w:p>
      <w:pPr>
        <w:pStyle w:val="Heading2"/>
      </w:pPr>
      <w:r>
        <w:t xml:space="preserve">3.2 Stage 2: surrogate fidelity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730"/>
        <w:gridCol w:w="730"/>
        <w:gridCol w:w="730"/>
        <w:gridCol w:w="730"/>
        <w:gridCol w:w="730"/>
        <w:gridCol w:w="730"/>
        <w:gridCol w:w="730"/>
        <w:gridCol w:w="730"/>
        <w:gridCol w:w="730"/>
        <w:gridCol w:w="730"/>
      </w:tblGrid>
      <w:tr>
        <w:trPr>
          <w:tblHeader/>
        </w:trPr>
        <w:tc>
          <w:tcPr>
            <w:tcW w:type="dxa" w:w="17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4"/>
                <w:szCs w:val="14"/>
              </w:rPr>
              <w:t xml:space="preserve">Surrogate</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GP</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Trans.</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CatB.</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LGBM</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XGB</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ANN</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SVR</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CNN</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Keras</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MLP</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Weighted OLS</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0.9961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0.9705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0.9433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0.9607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0.2400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0.2286</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Weighted Ridge</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0.9961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0.9705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0.9433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0.9650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0.9608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0.2399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0.2286</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Bayesian ridge</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0.9961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0.9705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0.9433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0.9607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0.2384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0.2277</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Linear regression</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0.9961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0.9706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0.9431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0.9609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0.2402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0.2290</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Ridge (unweighted)</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0.9961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0.9706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0.9431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0.9609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0.2401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0.2290</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Elastic net (weak)</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0.9351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0.8455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0.9081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0.9401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0.9381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0.8060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0.8564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0.8197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0.2174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0.2205</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Kernel ridge (RBF)</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0.9933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0.9872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0.9775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0.9878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0.9870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0.9537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0.9702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0.9687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0.3712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0.3448</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Hist. grad. boosting</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0.9971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0.9899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0.9987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0.9988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0.9989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0.9704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0.9798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0.9795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0.7404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0.6776</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Random forest</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0.9897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0.9517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0.9959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0.9975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0.9973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0.9232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0.9618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0.9256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0.8371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0.7911</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Tweedie GLM</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0.5696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0.5724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0.5839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0.5720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0.5772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0.5260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0.5433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0.5932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0.1418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0.4596</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Poisson GLM</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0.7855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0.7686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0.7924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0.7846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0.7914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0.7222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0.7455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0.7993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0.2567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0.7789</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Unweighted OLS</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0.9961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0.9706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0.9431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0.9609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0.2402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0.2290</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Ridge α = 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0.9961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0.9705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0.9850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0.9433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0.9607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0.2400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0.2286</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Shallow tree</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0.9620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0.5166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0.9483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0.9895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0.9860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0.6721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0.9100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0.8068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0.3762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0.3332</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Null, SD</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0.0078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0.0077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0.0069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0.0069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0.0071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0.0061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0.0078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0.0080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0.0062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0.0082</w:t>
            </w:r>
          </w:p>
        </w:tc>
      </w:tr>
    </w:tbl>
    <w:p>
      <w:pPr>
        <w:spacing w:after="200" w:before="60"/>
      </w:pPr>
      <w:r>
        <w:rPr>
          <w:i/>
          <w:iCs/>
          <w:sz w:val="18"/>
          <w:szCs w:val="18"/>
        </w:rPr>
        <w:t xml:space="preserve">Table 4. Feature-branch surrogate fidelity (held-out R², N = 4,000). Null, SD is the standard deviation of the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730"/>
        <w:gridCol w:w="730"/>
        <w:gridCol w:w="730"/>
        <w:gridCol w:w="730"/>
        <w:gridCol w:w="730"/>
        <w:gridCol w:w="730"/>
        <w:gridCol w:w="730"/>
        <w:gridCol w:w="730"/>
        <w:gridCol w:w="730"/>
        <w:gridCol w:w="730"/>
      </w:tblGrid>
      <w:tr>
        <w:trPr>
          <w:tblHeader/>
        </w:trPr>
        <w:tc>
          <w:tcPr>
            <w:tcW w:type="dxa" w:w="17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4"/>
                <w:szCs w:val="14"/>
              </w:rPr>
              <w:t xml:space="preserve">Surrogate</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GP</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Trans.</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CatB.</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LGBM</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XGB</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ANN</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SVR</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CNN</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Keras</w:t>
            </w:r>
          </w:p>
        </w:tc>
        <w:tc>
          <w:tcPr>
            <w:tcW w:type="dxa" w:w="73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4"/>
                <w:szCs w:val="14"/>
              </w:rPr>
              <w:t xml:space="preserve">MLP</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Weighted OLS</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0.9113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0.7702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0.9446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0.8927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0.9291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0.8387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0.9248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0.8875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0.8941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0.9197</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Weighted Ridge</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0.9112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0.7710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0.9446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0.8934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0.9296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0.8403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0.9249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0.8881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0.8958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0.9206</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Bayesian ridge</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0.9113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0.7710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0.9446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0.8931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0.9293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0.8399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0.9249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0.8878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0.8949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0.9200</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Linear regression</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0.9110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0.7714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0.9444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0.8942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0.9297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0.8414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0.9247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0.8886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0.8968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0.9208</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Ridge (unweighted)</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0.9107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0.7714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0.9441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0.8942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0.9296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0.8418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0.9245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0.8886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0.8973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0.9209</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Elastic net (weak)</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-0.0005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-0.0002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0.5488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-0.0028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-0.0005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-0.0000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0.4739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-0.0004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0.0074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0.4717</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Kernel ridge (RBF)</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0.5939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0.5145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0.5955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0.5960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0.6048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0.5782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0.5907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0.5864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0.6174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0.6022</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Hist. grad. boosting</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0.8335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0.5460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0.9448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0.7177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0.8764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0.6230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0.9037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0.7859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0.7932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0.8980</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Random forest</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0.7483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0.3243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0.9271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0.5520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0.8071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0.4452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0.8735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0.6927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0.6526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0.8672</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Tweedie GLM</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0.0592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0.0390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0.0476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0.0442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0.0505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0.0837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0.0836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0.0723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0.0825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0.1080</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Poisson GLM</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0.0513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0.0252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0.0487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0.0285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0.0372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0.1010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0.1179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0.0775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0.0913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0.1849</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Unweighted OLS</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0.9110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0.7714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0.9444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0.8942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0.9297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0.8414</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0.9247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0.8886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0.8968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0.9208</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Ridge α = 0</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0.9113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0.7702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0.9446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0.8927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0.9291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0.8387</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0.9248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0.8875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0.8941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0.9197</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Shallow tree</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0.6375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0.1423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0.9188</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0.3821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0.7052</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0.2649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0.8439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0.5985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0.4751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0.8124</w:t>
            </w:r>
          </w:p>
        </w:tc>
      </w:tr>
      <w:tr>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4"/>
                <w:szCs w:val="14"/>
              </w:rPr>
              <w:t xml:space="preserve">Null, SD</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0.0099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0.0205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0.0185</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0.0163</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0.0149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0.0161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0.0146</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0.0129</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0.0151</w:t>
            </w:r>
          </w:p>
        </w:tc>
        <w:tc>
          <w:tcPr>
            <w:tcW w:type="dxa" w:w="73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4"/>
                <w:szCs w:val="14"/>
              </w:rPr>
              <w:t xml:space="preserve">0.0154</w:t>
            </w:r>
          </w:p>
        </w:tc>
      </w:tr>
    </w:tbl>
    <w:p>
      <w:pPr>
        <w:spacing w:after="200" w:before="60"/>
      </w:pPr>
      <w:r>
        <w:rPr>
          <w:i/>
          <w:iCs/>
          <w:sz w:val="18"/>
          <w:szCs w:val="18"/>
        </w:rPr>
        <w:t xml:space="preserve">Table 5. Geo-branch surrogate fidelity (held-out R², N = 4,000, random-donor design).</w:t>
      </w:r>
    </w:p>
    <w:p>
      <w:pPr>
        <w:spacing w:after="120"/>
      </w:pPr>
      <w:r>
        <w:t xml:space="preserve">Weighted Ridge is again effectively indistinguishable from the other linear estimators and is retained. On the Geo branch it reaches R² = 0.9296 for XGBoost, with values between 0.7710 and 0.9446 across the ten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71"/>
        <w:gridCol w:w="1171"/>
        <w:gridCol w:w="1171"/>
        <w:gridCol w:w="1171"/>
        <w:gridCol w:w="1171"/>
        <w:gridCol w:w="1171"/>
      </w:tblGrid>
      <w:tr>
        <w:trPr>
          <w:tblHeader/>
        </w:trPr>
        <w:tc>
          <w:tcPr>
            <w:tcW w:type="dxa" w:w="20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6"/>
                <w:szCs w:val="16"/>
              </w:rPr>
              <w:t xml:space="preserve">Model</w:t>
            </w:r>
          </w:p>
        </w:tc>
        <w:tc>
          <w:tcPr>
            <w:tcW w:type="dxa" w:w="11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Feature R²</w:t>
            </w:r>
          </w:p>
        </w:tc>
        <w:tc>
          <w:tcPr>
            <w:tcW w:type="dxa" w:w="11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MAE</w:t>
            </w:r>
          </w:p>
        </w:tc>
        <w:tc>
          <w:tcPr>
            <w:tcW w:type="dxa" w:w="11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WRMSE</w:t>
            </w:r>
          </w:p>
        </w:tc>
        <w:tc>
          <w:tcPr>
            <w:tcW w:type="dxa" w:w="11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Geo R²</w:t>
            </w:r>
          </w:p>
        </w:tc>
        <w:tc>
          <w:tcPr>
            <w:tcW w:type="dxa" w:w="11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MAE</w:t>
            </w:r>
          </w:p>
        </w:tc>
        <w:tc>
          <w:tcPr>
            <w:tcW w:type="dxa" w:w="11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WRMSE</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Gaussian process</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0.9961</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0.110</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0.149</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0.9112</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0.069</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0.105</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Transformer</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0.9859</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0.120</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0.155</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0.7710</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0.031</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0.040</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CatBoost</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0.9705</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0.274</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0.344</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0.9446</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0.158</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0.427</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LightGBM</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0.9863</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0.284</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0.332</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0.8934</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0.036</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0.050</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XGBoost</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0.9850</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0.295</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0.341</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0.9296</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0.052</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0.084</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ANN</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0.9433</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0.296</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0.385</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0.8403</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0.136</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0.178</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SVR</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0.9650</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0.207</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0.265</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0.9249</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0.218</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0.409</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CNN</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0.9608</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0.221</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0.286</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0.8881</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0.108</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0.144</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Keras (deep)</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0.2399</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3.810</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6.857</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0.8958</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0.121</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0.164</w:t>
            </w:r>
          </w:p>
        </w:tc>
      </w:tr>
      <w:tr>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MLP</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0.2286</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732.648</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1391.919</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0.9206</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0.368</w:t>
            </w:r>
          </w:p>
        </w:tc>
        <w:tc>
          <w:tcPr>
            <w:tcW w:type="dxa" w:w="11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0.587</w:t>
            </w:r>
          </w:p>
        </w:tc>
      </w:tr>
    </w:tbl>
    <w:p>
      <w:pPr>
        <w:spacing w:after="200" w:before="60"/>
      </w:pPr>
      <w:r>
        <w:rPr>
          <w:i/>
          <w:iCs/>
          <w:sz w:val="18"/>
          <w:szCs w:val="18"/>
        </w:rPr>
        <w:t xml:space="preserve">Table 6. Weighted-Ridge fidelity for all ten models, both branches (N = 4,000).</w:t>
      </w:r>
    </w:p>
    <w:p>
      <w:pPr>
        <w:pStyle w:val="Heading1"/>
      </w:pPr>
      <w:r>
        <w:t xml:space="preserve">4. Results</w:t>
      </w:r>
    </w:p>
    <w:p>
      <w:pPr>
        <w:pStyle w:val="Heading2"/>
      </w:pPr>
      <w:r>
        <w:t xml:space="preserve">4.1 Global Feature importance</w:t>
      </w:r>
    </w:p>
    <w:p>
      <w:pPr>
        <w:jc w:val="center"/>
      </w:pPr>
      <w:r>
        <w:drawing>
          <wp:inline distT="0" distB="0" distL="0" distR="0">
            <wp:extent cx="4953000" cy="3095625"/>
            <wp:effectExtent t="0" r="0" b="0" l="0"/>
            <wp:docPr id="1" name="feature_global.png" descr="feature_global.png" title="feature_glob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00" w:before="60"/>
      </w:pPr>
      <w:r>
        <w:rPr>
          <w:i/>
          <w:iCs/>
          <w:sz w:val="18"/>
          <w:szCs w:val="18"/>
        </w:rPr>
        <w:t xml:space="preserve">Figure 1. Leading global Feature-SMILE drivers (absolute weighted-Ridge coefficient, N = 4,000).</w:t>
      </w:r>
    </w:p>
    <w:p>
      <w:pPr>
        <w:spacing w:after="120"/>
      </w:pPr>
      <w:r>
        <w:t xml:space="preserve">Recent crime history dominates: Crime roll mean 6 (-5.3204), Crime roll mean 3 (-1.3298), Unemployment % (-0.3961), Long-term sick % (-0.3405), Crime lag 1 (-0.2249), Owner occupied % (-0.2004). All ten leading coefficients are negative; because the response is a Wasserstein distance, the sign is not a direction of prediction change and importance is assessed by magnitude.</w:t>
      </w:r>
    </w:p>
    <w:p>
      <w:pPr>
        <w:pStyle w:val="Heading2"/>
      </w:pPr>
      <w:r>
        <w:t xml:space="preserve">4.2 Geographic sensitivity</w:t>
      </w:r>
    </w:p>
    <w:p>
      <w:pPr>
        <w:jc w:val="center"/>
      </w:pPr>
      <w:r>
        <w:drawing>
          <wp:inline distT="0" distB="0" distL="0" distR="0">
            <wp:extent cx="5905500" cy="4200525"/>
            <wp:effectExtent t="0" r="0" b="0" l="0"/>
            <wp:docPr id="1" name="geo_map_random_donor.png" descr="geo_map_random_donor.png" title="geo_map_random_don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00525"/>
                    </a:xfrm>
                    <a:prstGeom prst="rect">
                      <a:avLst/>
                    </a:prstGeom>
                  </pic:spPr>
                </pic:pic>
              </a:graphicData>
            </a:graphic>
          </wp:inline>
        </w:drawing>
      </w:r>
    </w:p>
    <w:p>
      <w:pPr>
        <w:spacing w:after="200" w:before="60"/>
      </w:pPr>
      <w:r>
        <w:rPr>
          <w:i/>
          <w:iCs/>
          <w:sz w:val="18"/>
          <w:szCs w:val="18"/>
        </w:rPr>
        <w:t xml:space="preserve">Figure 2. (a) Geo-SMILE geographic sensitivity coefficient, top 10 numbered and named; (b) single-LSOA Wasserstein prediction shift (mean over all 167 donor locations), with the expert regions outlined.</w:t>
      </w:r>
    </w:p>
    <w:p>
      <w:pPr>
        <w:jc w:val="center"/>
      </w:pPr>
      <w:r>
        <w:drawing>
          <wp:inline distT="0" distB="0" distL="0" distR="0">
            <wp:extent cx="4762500" cy="4914900"/>
            <wp:effectExtent t="0" r="0" b="0" l="0"/>
            <wp:docPr id="1" name="geo_sign_random_donor.png" descr="geo_sign_random_donor.png" title="geo_sign_random_don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914900"/>
                    </a:xfrm>
                    <a:prstGeom prst="rect">
                      <a:avLst/>
                    </a:prstGeom>
                  </pic:spPr>
                </pic:pic>
              </a:graphicData>
            </a:graphic>
          </wp:inline>
        </w:drawing>
      </w:r>
    </w:p>
    <w:p>
      <w:pPr>
        <w:spacing w:after="200" w:before="60"/>
      </w:pPr>
      <w:r>
        <w:rPr>
          <w:i/>
          <w:iCs/>
          <w:sz w:val="18"/>
          <w:szCs w:val="18"/>
        </w:rPr>
        <w:t xml:space="preserve">Figure 3. Signed Geo-SMILE coefficient on a symmetric diverging scale centred at zero (capped at the 98th percentile of |β|), with the expert regions (map 1) outlined. Dark circles: ten most positive LSOAs; blue circles: five most negative. A positive coefficient means relocating the LSOA raises the coalition W1 above the surrogate average; a negative one means it dilutes it. The sign is not a direction of predicted crime change.</w:t>
      </w:r>
    </w:p>
    <w:p>
      <w:pPr>
        <w:spacing w:after="120"/>
      </w:pPr>
      <w:r>
        <w:t xml:space="preserve">128 of 168 coefficients are negative, but all are small (minimum −0.072) and spread across the city; the five most negative lie in Bransholme, Garden Village and the Avenues, where relocating the LSOA changes its predictions by only about 0.1 crimes per month. The positive coefficients cluster in Old Town and the Dairycoates–Hessle Road corridor, largely inside the expert regions.</w:t>
      </w:r>
    </w:p>
    <w:p>
      <w:pPr>
        <w:jc w:val="center"/>
      </w:pPr>
      <w:r>
        <w:drawing>
          <wp:inline distT="0" distB="0" distL="0" distR="0">
            <wp:extent cx="5905500" cy="4686300"/>
            <wp:effectExtent t="0" r="0" b="0" l="0"/>
            <wp:docPr id="1" name="geo_clusters_random_donor.png" descr="geo_clusters_random_donor.png" title="geo_clusters_random_don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686300"/>
                    </a:xfrm>
                    <a:prstGeom prst="rect">
                      <a:avLst/>
                    </a:prstGeom>
                  </pic:spPr>
                </pic:pic>
              </a:graphicData>
            </a:graphic>
          </wp:inline>
        </w:drawing>
      </w:r>
    </w:p>
    <w:p>
      <w:pPr>
        <w:spacing w:after="200" w:before="60"/>
      </w:pPr>
      <w:r>
        <w:rPr>
          <w:i/>
          <w:iCs/>
          <w:sz w:val="18"/>
          <w:szCs w:val="18"/>
        </w:rPr>
        <w:t xml:space="preserve">Figure 4. Annotated signed Geo-SMILE map. Outlines are significant local Moran's I clusters (queen contiguity, 999 permutations, p &lt; 0.05) plus the top-10 corridor: A, the Old Town–Stepney–Dairycoates peak corridor; B, the eastern secondary pocket (Marfleet, Greatfield, Summergangs); C, an isolated high Sculcoates LSOA; D, the northern Low–Low cluster (Bransholme, Kingswood); E, Low–Low pockets beside the high cores (Garden Village, the Avenues).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000"/>
        <w:gridCol w:w="2000"/>
        <w:gridCol w:w="2226"/>
      </w:tblGrid>
      <w:tr>
        <w:trPr>
          <w:tblHeader/>
        </w:trPr>
        <w:tc>
          <w:tcPr>
            <w:tcW w:type="dxa" w:w="9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Rank</w:t>
            </w:r>
          </w:p>
        </w:tc>
        <w:tc>
          <w:tcPr>
            <w:tcW w:type="dxa" w:w="19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LSOA</w:t>
            </w:r>
          </w:p>
        </w:tc>
        <w:tc>
          <w:tcPr>
            <w:tcW w:type="dxa" w:w="20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Name</w:t>
            </w:r>
          </w:p>
        </w:tc>
        <w:tc>
          <w:tcPr>
            <w:tcW w:type="dxa" w:w="20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Coefficient</w:t>
            </w:r>
          </w:p>
        </w:tc>
        <w:tc>
          <w:tcPr>
            <w:tcW w:type="dxa" w:w="22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Single-LSOA shift</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E01033104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029E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1.0689</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8.631</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E01012889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030B</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0.4182</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3.503</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E01012871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015D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0.3290</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2.954</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E01012852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024B</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0.2425</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2.345</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E01012854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029C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0.2246</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2.299</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6</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E01012855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029D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0.2072</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2.042</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7</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E01012763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018C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0.1831</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1.961</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8</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E01012843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021B</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0.1290</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1.518</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9</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E01012805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026A</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0.1276</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1.385</w:t>
            </w:r>
          </w:p>
        </w:tc>
      </w:tr>
      <w:t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10</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E01035464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017G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0.1236</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1.470</w:t>
            </w:r>
          </w:p>
        </w:tc>
      </w:tr>
    </w:tbl>
    <w:p>
      <w:pPr>
        <w:spacing w:after="200" w:before="60"/>
      </w:pPr>
      <w:r>
        <w:rPr>
          <w:i/>
          <w:iCs/>
          <w:sz w:val="18"/>
          <w:szCs w:val="18"/>
        </w:rPr>
        <w:t xml:space="preserve">Table 7. The ten LSOAs with the highest Geo-SMILE coefficients.</w:t>
      </w:r>
    </w:p>
    <w:p>
      <w:pPr>
        <w:spacing w:after="120"/>
      </w:pPr>
      <w:r>
        <w:t xml:space="preserve">Sensitivity is concentrated in Old Town (029E, coefficient 1.069, single-LSOA shift 8.63 crimes per month) and along the city-centre, Dairycoates and Hessle Road corridor west of the River Hull. The signed coefficient ranking agrees with the single-LSOA shift (ρ_s = 0.942), whereas the absolute-coefficient ranking does not (ρ_s = -0.27). The coefficients are positively spatially autocorrelated (global Moran's I = 0.242, p = 0.001, queen contiguity, 999 permutations), with 12 High–High LSOAs. The median single-LSOA shift is 0.31 crimes per month and the 90th percentile 1.10; 128 of 168 coefficients are negative.</w:t>
      </w:r>
    </w:p>
    <w:p>
      <w:pPr>
        <w:pStyle w:val="Heading2"/>
      </w:pPr>
      <w:r>
        <w:t xml:space="preserve">4.3 Local Feature importance</w:t>
      </w:r>
    </w:p>
    <w:p>
      <w:pPr>
        <w:jc w:val="center"/>
      </w:pPr>
      <w:r>
        <w:drawing>
          <wp:inline distT="0" distB="0" distL="0" distR="0">
            <wp:extent cx="5334000" cy="3552825"/>
            <wp:effectExtent t="0" r="0" b="0" l="0"/>
            <wp:docPr id="1" name="feature_local.png" descr="feature_local.png" title="feature_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200" w:before="60"/>
      </w:pPr>
      <w:r>
        <w:rPr>
          <w:i/>
          <w:iCs/>
          <w:sz w:val="18"/>
          <w:szCs w:val="18"/>
        </w:rPr>
        <w:t xml:space="preserve">Figure 5. Signed local coefficients of the six leading global Feature drivers.</w:t>
      </w:r>
    </w:p>
    <w:p>
      <w:pPr>
        <w:pStyle w:val="Heading2"/>
      </w:pPr>
      <w:r>
        <w:t xml:space="preserve">4.4 Surrogate fidelity and perturbation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2"/>
        <w:gridCol w:w="1906"/>
        <w:gridCol w:w="1906"/>
        <w:gridCol w:w="1906"/>
        <w:gridCol w:w="1906"/>
      </w:tblGrid>
      <w:tr>
        <w:trPr>
          <w:tblHeader/>
        </w:trPr>
        <w:tc>
          <w:tcPr>
            <w:tcW w:type="dxa" w:w="1402"/>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N</w:t>
            </w:r>
          </w:p>
        </w:tc>
        <w:tc>
          <w:tcPr>
            <w:tcW w:type="dxa" w:w="19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Feature R²</w:t>
            </w:r>
          </w:p>
        </w:tc>
        <w:tc>
          <w:tcPr>
            <w:tcW w:type="dxa" w:w="19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Feature wR²</w:t>
            </w:r>
          </w:p>
        </w:tc>
        <w:tc>
          <w:tcPr>
            <w:tcW w:type="dxa" w:w="19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Geo R²</w:t>
            </w:r>
          </w:p>
        </w:tc>
        <w:tc>
          <w:tcPr>
            <w:tcW w:type="dxa" w:w="19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Geo wR²</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1,000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0.9837</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0.9836</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0.9104</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0.9096</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2,000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0.9851</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0.9849</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0.9135</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0.9257</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3,000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0.9845</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0.9845</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0.9247</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0.9227</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8"/>
                <w:szCs w:val="18"/>
              </w:rPr>
              <w:t xml:space="preserve">4,000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8"/>
                <w:szCs w:val="18"/>
              </w:rPr>
              <w:t xml:space="preserve">0.9850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8"/>
                <w:szCs w:val="18"/>
              </w:rPr>
              <w:t xml:space="preserve">0.9850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8"/>
                <w:szCs w:val="18"/>
              </w:rPr>
              <w:t xml:space="preserve">0.9296</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8"/>
                <w:szCs w:val="18"/>
              </w:rPr>
              <w:t xml:space="preserve">0.9272</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5,000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0.9850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0.9851</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0.9286</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0.9277</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7,500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0.9852</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0.9852</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0.9283</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0.9292</w:t>
            </w:r>
          </w:p>
        </w:tc>
      </w:tr>
      <w:tr>
        <w:tc>
          <w:tcPr>
            <w:tcW w:type="dxa" w:w="14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8"/>
                <w:szCs w:val="18"/>
              </w:rPr>
              <w:t xml:space="preserve">10,000</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0.9842</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0.9841</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0.9272</w:t>
            </w:r>
          </w:p>
        </w:tc>
        <w:tc>
          <w:tcPr>
            <w:tcW w:type="dxa" w:w="19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8"/>
                <w:szCs w:val="18"/>
              </w:rPr>
              <w:t xml:space="preserve">0.9266</w:t>
            </w:r>
          </w:p>
        </w:tc>
      </w:tr>
    </w:tbl>
    <w:p>
      <w:pPr>
        <w:spacing w:after="200" w:before="60"/>
      </w:pPr>
      <w:r>
        <w:rPr>
          <w:i/>
          <w:iCs/>
          <w:sz w:val="18"/>
          <w:szCs w:val="18"/>
        </w:rPr>
        <w:t xml:space="preserve">Table 8. Held-out weighted-Ridge fidelity by perturbation count.</w:t>
      </w:r>
    </w:p>
    <w:p>
      <w:pPr>
        <w:pStyle w:val="Heading1"/>
      </w:pPr>
      <w:r>
        <w:t xml:space="preserve">5. Evaluation metrics</w:t>
      </w:r>
    </w:p>
    <w:p>
      <w:pPr>
        <w:pStyle w:val="Heading2"/>
      </w:pPr>
      <w:r>
        <w:t xml:space="preserve">5.1 Expert references</w:t>
      </w:r>
    </w:p>
    <w:p>
      <w:pPr>
        <w:spacing w:after="120"/>
      </w:pPr>
      <w:r>
        <w:t xml:space="preserve">Three expert references are reported. Map 1 is the Chapter 4 reference (58 LSOAs in the Sculcoates–City Centre–Dairycoates corridor, Bransholme–Sutton–Stoneferry and Southcoates–Marfleet). Map 2 is a second, schematic expert map with seven regions (57 LSOAs), georeferenced with an affine fit on five control points (residuals 60–290 m). Map 3 is map 2 with the expert's hand-drawn extensions of Orchard Park, the city-centre corridor and a joint Preston Road–Greatfield region (77 LSOAs).</w:t>
      </w:r>
    </w:p>
    <w:p>
      <w:pPr>
        <w:jc w:val="center"/>
      </w:pPr>
      <w:r>
        <w:drawing>
          <wp:inline distT="0" distB="0" distL="0" distR="0">
            <wp:extent cx="4095750" cy="3143250"/>
            <wp:effectExtent t="0" r="0" b="0" l="0"/>
            <wp:docPr id="1" name="expert_map1.png" descr="expert_map1.png" title="expert_ma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143250"/>
                    </a:xfrm>
                    <a:prstGeom prst="rect">
                      <a:avLst/>
                    </a:prstGeom>
                  </pic:spPr>
                </pic:pic>
              </a:graphicData>
            </a:graphic>
          </wp:inline>
        </w:drawing>
      </w:r>
    </w:p>
    <w:p>
      <w:pPr>
        <w:spacing w:after="200" w:before="60"/>
      </w:pPr>
      <w:r>
        <w:rPr>
          <w:i/>
          <w:iCs/>
          <w:sz w:val="18"/>
          <w:szCs w:val="18"/>
        </w:rPr>
        <w:t xml:space="preserve">Figure 6. Expert map 1 (Chapter 4 reference).</w:t>
      </w:r>
    </w:p>
    <w:p>
      <w:pPr>
        <w:jc w:val="center"/>
      </w:pPr>
      <w:r>
        <w:drawing>
          <wp:inline distT="0" distB="0" distL="0" distR="0">
            <wp:extent cx="3810000" cy="3048000"/>
            <wp:effectExtent t="0" r="0" b="0" l="0"/>
            <wp:docPr id="1" name="expert_map2.png" descr="expert_map2.png" title="expert_ma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048000"/>
                    </a:xfrm>
                    <a:prstGeom prst="rect">
                      <a:avLst/>
                    </a:prstGeom>
                  </pic:spPr>
                </pic:pic>
              </a:graphicData>
            </a:graphic>
          </wp:inline>
        </w:drawing>
      </w:r>
    </w:p>
    <w:p>
      <w:pPr>
        <w:spacing w:after="200" w:before="60"/>
      </w:pPr>
      <w:r>
        <w:rPr>
          <w:i/>
          <w:iCs/>
          <w:sz w:val="18"/>
          <w:szCs w:val="18"/>
        </w:rPr>
        <w:t xml:space="preserve">Figure 7. Expert map 2, georeferenced (57 LSOAs).</w:t>
      </w:r>
    </w:p>
    <w:p>
      <w:pPr>
        <w:jc w:val="center"/>
      </w:pPr>
      <w:r>
        <w:drawing>
          <wp:inline distT="0" distB="0" distL="0" distR="0">
            <wp:extent cx="3810000" cy="3048000"/>
            <wp:effectExtent t="0" r="0" b="0" l="0"/>
            <wp:docPr id="1" name="expert_map3.png" descr="expert_map3.png" title="expert_ma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048000"/>
                    </a:xfrm>
                    <a:prstGeom prst="rect">
                      <a:avLst/>
                    </a:prstGeom>
                  </pic:spPr>
                </pic:pic>
              </a:graphicData>
            </a:graphic>
          </wp:inline>
        </w:drawing>
      </w:r>
    </w:p>
    <w:p>
      <w:pPr>
        <w:spacing w:after="200" w:before="60"/>
      </w:pPr>
      <w:r>
        <w:rPr>
          <w:i/>
          <w:iCs/>
          <w:sz w:val="18"/>
          <w:szCs w:val="18"/>
        </w:rPr>
        <w:t xml:space="preserve">Figure 8. Expert map 3, map 2 with hand-drawn extensions (77 LSOAs).</w:t>
      </w:r>
    </w:p>
    <w:p>
      <w:pPr>
        <w:pStyle w:val="Heading2"/>
      </w:pPr>
      <w:r>
        <w:t xml:space="preserve">5.2 ATT fidelity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71"/>
        <w:gridCol w:w="1271"/>
        <w:gridCol w:w="1271"/>
        <w:gridCol w:w="1271"/>
        <w:gridCol w:w="1271"/>
        <w:gridCol w:w="1271"/>
      </w:tblGrid>
      <w:tr>
        <w:trPr>
          <w:tblHeader/>
        </w:trPr>
        <w:tc>
          <w:tcPr>
            <w:tcW w:type="dxa" w:w="14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Branch</w:t>
            </w:r>
          </w:p>
        </w:tc>
        <w:tc>
          <w:tcPr>
            <w:tcW w:type="dxa" w:w="12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R²</w:t>
            </w:r>
          </w:p>
        </w:tc>
        <w:tc>
          <w:tcPr>
            <w:tcW w:type="dxa" w:w="12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Weighted R²</w:t>
            </w:r>
          </w:p>
        </w:tc>
        <w:tc>
          <w:tcPr>
            <w:tcW w:type="dxa" w:w="12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MAE</w:t>
            </w:r>
          </w:p>
        </w:tc>
        <w:tc>
          <w:tcPr>
            <w:tcW w:type="dxa" w:w="12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WMAE</w:t>
            </w:r>
          </w:p>
        </w:tc>
        <w:tc>
          <w:tcPr>
            <w:tcW w:type="dxa" w:w="12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RMSE</w:t>
            </w:r>
          </w:p>
        </w:tc>
        <w:tc>
          <w:tcPr>
            <w:tcW w:type="dxa" w:w="1271"/>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WRMSE</w:t>
            </w:r>
          </w:p>
        </w:tc>
      </w:tr>
      <w:t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Feature</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0.9850</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0.9850</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0.2955</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0.2964</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0.3395</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0.3407</w:t>
            </w:r>
          </w:p>
        </w:tc>
      </w:tr>
      <w:t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Geo</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0.9296</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0.9272</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0.0515</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0.0522</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0.0815</w:t>
            </w:r>
          </w:p>
        </w:tc>
        <w:tc>
          <w:tcPr>
            <w:tcW w:type="dxa" w:w="127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0.0837</w:t>
            </w:r>
          </w:p>
        </w:tc>
      </w:tr>
    </w:tbl>
    <w:p>
      <w:pPr>
        <w:spacing w:after="200" w:before="60"/>
      </w:pPr>
      <w:r>
        <w:rPr>
          <w:i/>
          <w:iCs/>
          <w:sz w:val="18"/>
          <w:szCs w:val="18"/>
        </w:rPr>
        <w:t xml:space="preserve">Table 9. ATT fidelity at N = 4,000 (XGBoost, seed 42).</w:t>
      </w:r>
    </w:p>
    <w:p>
      <w:pPr>
        <w:pStyle w:val="Heading2"/>
      </w:pPr>
      <w:r>
        <w:t xml:space="preserve">5.3 ATT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900"/>
        <w:gridCol w:w="2900"/>
      </w:tblGrid>
      <w:tr>
        <w:trPr>
          <w:tblHeader/>
        </w:trPr>
        <w:tc>
          <w:tcPr>
            <w:tcW w:type="dxa" w:w="32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Metric</w:t>
            </w:r>
          </w:p>
        </w:tc>
        <w:tc>
          <w:tcPr>
            <w:tcW w:type="dxa" w:w="29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Feature</w:t>
            </w:r>
          </w:p>
        </w:tc>
        <w:tc>
          <w:tcPr>
            <w:tcW w:type="dxa" w:w="29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Geo</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n / reference size / k</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30 / 10 / 10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168 / 58 / 20</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Intersection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Accuracy (chance)</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0.700 (0.333)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0.800 (0.345)</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Lift</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2.10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2.32</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ATT ACC</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0.8000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0.7262</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ATT F1</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0.7000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0.4103</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ATT AUROC</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0.8450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0.6027</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Precision@k / Recall@k</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0.700 / 0.700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0.800 / 0.276</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Jaccard@k</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0.5385</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0.2581</w:t>
            </w:r>
          </w:p>
        </w:tc>
      </w:tr>
    </w:tbl>
    <w:p>
      <w:pPr>
        <w:spacing w:after="200" w:before="60"/>
      </w:pPr>
      <w:r>
        <w:rPr>
          <w:i/>
          <w:iCs/>
          <w:sz w:val="18"/>
          <w:szCs w:val="18"/>
        </w:rPr>
        <w:t xml:space="preserve">Table 10. Primary ATT accuracy at N = 4,000. Feature: top 10 against the 10-predictor reference. Geo: top 20 against expert map 1.</w:t>
      </w:r>
    </w:p>
    <w:p>
      <w:pPr>
        <w:spacing w:after="120"/>
      </w:pPr>
      <w:r>
        <w:t xml:space="preserve">The Feature branch recovers 7 of the 10 reference predictors. 16 of the 20 most sensitive LSOAs lie inside the expert-highlighted regions; the four outside are E01012805, E01012809, E01012827, E01012832.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100"/>
        <w:gridCol w:w="1200"/>
        <w:gridCol w:w="1100"/>
        <w:gridCol w:w="1000"/>
        <w:gridCol w:w="1200"/>
      </w:tblGrid>
      <w:tr>
        <w:trPr>
          <w:tblHeader/>
        </w:trPr>
        <w:tc>
          <w:tcPr>
            <w:tcW w:type="dxa" w:w="34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Inclusion rule (map 1)</w:t>
            </w:r>
          </w:p>
        </w:tc>
        <w:tc>
          <w:tcPr>
            <w:tcW w:type="dxa" w:w="11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Reference</w:t>
            </w:r>
          </w:p>
        </w:tc>
        <w:tc>
          <w:tcPr>
            <w:tcW w:type="dxa" w:w="12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Top 20 inside</w:t>
            </w:r>
          </w:p>
        </w:tc>
        <w:tc>
          <w:tcPr>
            <w:tcW w:type="dxa" w:w="11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Chance</w:t>
            </w:r>
          </w:p>
        </w:tc>
        <w:tc>
          <w:tcPr>
            <w:tcW w:type="dxa" w:w="10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Lift</w:t>
            </w:r>
          </w:p>
        </w:tc>
        <w:tc>
          <w:tcPr>
            <w:tcW w:type="dxa" w:w="12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p</w:t>
            </w:r>
          </w:p>
        </w:tc>
      </w:tr>
      <w:tr>
        <w:tc>
          <w:tcPr>
            <w:tcW w:type="dxa" w:w="3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published (≥20% or ≥0.1 km²; &gt;=50% north)</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58</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0.345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2.32</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1.2e-5</w:t>
            </w:r>
          </w:p>
        </w:tc>
      </w:tr>
      <w:tr>
        <w:tc>
          <w:tcPr>
            <w:tcW w:type="dxa" w:w="3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≥20% or ≥0.1 km², all regions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63</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0.375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2.13</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4.8e-5</w:t>
            </w:r>
          </w:p>
        </w:tc>
      </w:tr>
      <w:tr>
        <w:tc>
          <w:tcPr>
            <w:tcW w:type="dxa" w:w="3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≥10% of LSOA area</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65</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0.387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1.94</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0.0005</w:t>
            </w:r>
          </w:p>
        </w:tc>
      </w:tr>
      <w:tr>
        <w:tc>
          <w:tcPr>
            <w:tcW w:type="dxa" w:w="3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≥50% of LSOA area</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41</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0.244</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2.25</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0.002</w:t>
            </w:r>
          </w:p>
        </w:tc>
      </w:tr>
      <w:tr>
        <w:tc>
          <w:tcPr>
            <w:tcW w:type="dxa" w:w="3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≥75% of LSOA area</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28</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0.167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2.40</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0.007</w:t>
            </w:r>
          </w:p>
        </w:tc>
      </w:tr>
    </w:tbl>
    <w:p>
      <w:pPr>
        <w:spacing w:after="200" w:before="60"/>
      </w:pPr>
      <w:r>
        <w:rPr>
          <w:i/>
          <w:iCs/>
          <w:sz w:val="18"/>
          <w:szCs w:val="18"/>
        </w:rPr>
        <w:t xml:space="preserve">Table 11. Robustness of Geo accuracy to the rule assigning LSOAs to the expert regions (one-sided hypergeometric 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Expert reference</w:t>
            </w:r>
          </w:p>
        </w:tc>
        <w:tc>
          <w:tcPr>
            <w:tcW w:type="dxa" w:w="22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Top 20</w:t>
            </w:r>
          </w:p>
        </w:tc>
        <w:tc>
          <w:tcPr>
            <w:tcW w:type="dxa" w:w="22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Top 30</w:t>
            </w:r>
          </w:p>
        </w:tc>
        <w:tc>
          <w:tcPr>
            <w:tcW w:type="dxa" w:w="22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Top 42</w:t>
            </w:r>
          </w:p>
        </w:tc>
      </w:tr>
      <w:t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Map 1 (58 LSOAs)</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16/20 (p = 1.2e-5)</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22/30 (p = 1.9e-6)</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25/42 (p = 0.0001)</w:t>
            </w:r>
          </w:p>
        </w:tc>
      </w:tr>
      <w:t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Map 2 (57 LSOAs)</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10/20 (p = 0.088)</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13/30 (p = 0.161)</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17/42 (p = 0.198)</w:t>
            </w:r>
          </w:p>
        </w:tc>
      </w:tr>
      <w:t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Map 3 (77 LSOAs)</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16/20 (p = 0.001)</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20/30 (p = 0.010)</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25/42 (p = 0.030)</w:t>
            </w:r>
          </w:p>
        </w:tc>
      </w:tr>
    </w:tbl>
    <w:p>
      <w:pPr>
        <w:spacing w:after="200" w:before="60"/>
      </w:pPr>
      <w:r>
        <w:rPr>
          <w:i/>
          <w:iCs/>
          <w:sz w:val="18"/>
          <w:szCs w:val="18"/>
        </w:rPr>
        <w:t xml:space="preserve">Table 12. Geo accuracy at k = 20, 30 and 42 against the three expert maps.</w:t>
      </w:r>
    </w:p>
    <w:p>
      <w:pPr>
        <w:spacing w:after="120"/>
      </w:pPr>
      <w:r>
        <w:t xml:space="preserve">Agreement is strong against maps 1 and 3 and not significant against map 2, which adds the northern and eastern estates (Orchard Park, Bransholme, Longhill, Greatfield, Preston Road). A crime-level ranking alone places 16 of 20 inside map 1 and 17 of 20 inside map 3, so much of the agreement reflects that both the expert and the absolute random-donor sensitivity concentrate on high-crime areas.</w:t>
      </w:r>
    </w:p>
    <w:p>
      <w:pPr>
        <w:pStyle w:val="Heading2"/>
      </w:pPr>
      <w:r>
        <w:t xml:space="preserve">5.4 ATT Faithfulness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800"/>
        <w:gridCol w:w="1400"/>
        <w:gridCol w:w="1500"/>
        <w:gridCol w:w="1500"/>
      </w:tblGrid>
      <w:tr>
        <w:trPr>
          <w:tblHeader/>
        </w:trPr>
        <w:tc>
          <w:tcPr>
            <w:tcW w:type="dxa" w:w="38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Attribution measure</w:t>
            </w:r>
          </w:p>
        </w:tc>
        <w:tc>
          <w:tcPr>
            <w:tcW w:type="dxa" w:w="8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M</w:t>
            </w:r>
          </w:p>
        </w:tc>
        <w:tc>
          <w:tcPr>
            <w:tcW w:type="dxa" w:w="14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Pearson r</w:t>
            </w:r>
          </w:p>
        </w:tc>
        <w:tc>
          <w:tcPr>
            <w:tcW w:type="dxa" w:w="15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Two-sided p</w:t>
            </w:r>
          </w:p>
        </w:tc>
        <w:tc>
          <w:tcPr>
            <w:tcW w:type="dxa" w:w="15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Spearman ρ</w:t>
            </w:r>
          </w:p>
        </w:tc>
      </w:tr>
      <w:tr>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Feature ATT accuracy (top-10)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-0.01</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0.98</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-0.01</w:t>
            </w:r>
          </w:p>
        </w:tc>
      </w:tr>
      <w:tr>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Feature ATT-AUC</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0.17</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0.63</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0.30</w:t>
            </w:r>
          </w:p>
        </w:tc>
      </w:tr>
      <w:tr>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Geo ATT accuracy (top 20, map 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0.32</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0.36</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0.40</w:t>
            </w:r>
          </w:p>
        </w:tc>
      </w:tr>
      <w:tr>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Geo ATT-AUC (map 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0.28</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0.43</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0.55</w:t>
            </w:r>
          </w:p>
        </w:tc>
      </w:tr>
      <w:tr>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Geo ATT accuracy (top 20, map 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0.32</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0.36</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0.43</w:t>
            </w:r>
          </w:p>
        </w:tc>
      </w:tr>
      <w:tr>
        <w:tc>
          <w:tcPr>
            <w:tcW w:type="dxa" w:w="38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Geo ATT accuracy (top 20, map 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0.42</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0.23</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0.52</w:t>
            </w:r>
          </w:p>
        </w:tc>
      </w:tr>
    </w:tbl>
    <w:p>
      <w:pPr>
        <w:spacing w:after="200" w:before="60"/>
      </w:pPr>
      <w:r>
        <w:rPr>
          <w:i/>
          <w:iCs/>
          <w:sz w:val="18"/>
          <w:szCs w:val="18"/>
        </w:rPr>
        <w:t xml:space="preserve">Table 13. ATT Faithfulness: correlation, across the ten models, between predictive R² and attribution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100"/>
        <w:gridCol w:w="1400"/>
        <w:gridCol w:w="1600"/>
        <w:gridCol w:w="1400"/>
        <w:gridCol w:w="1400"/>
      </w:tblGrid>
      <w:tr>
        <w:trPr>
          <w:tblHeader/>
        </w:trPr>
        <w:tc>
          <w:tcPr>
            <w:tcW w:type="dxa" w:w="21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Model</w:t>
            </w:r>
          </w:p>
        </w:tc>
        <w:tc>
          <w:tcPr>
            <w:tcW w:type="dxa" w:w="11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R²</w:t>
            </w:r>
          </w:p>
        </w:tc>
        <w:tc>
          <w:tcPr>
            <w:tcW w:type="dxa" w:w="14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Geo Ridge R²</w:t>
            </w:r>
          </w:p>
        </w:tc>
        <w:tc>
          <w:tcPr>
            <w:tcW w:type="dxa" w:w="16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Geo top 20 (map 1)</w:t>
            </w:r>
          </w:p>
        </w:tc>
        <w:tc>
          <w:tcPr>
            <w:tcW w:type="dxa" w:w="14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Geo AUROC</w:t>
            </w:r>
          </w:p>
        </w:tc>
        <w:tc>
          <w:tcPr>
            <w:tcW w:type="dxa" w:w="14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Feature top 10</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XGBoost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0.930</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0.603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LightGBM</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0.893</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0.606</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CatBoost</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0.945</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0.593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MLP</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0.527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0.921</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0.580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SVR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0.868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0.925</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0.526</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Gaussian process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0.911</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0.594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Keras (deep)</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0.788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0.896</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0.560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ANN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0.878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0.840</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0.585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CNN</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0.861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0.888</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0.661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w:t>
            </w:r>
          </w:p>
        </w:tc>
      </w:tr>
      <w:tr>
        <w:tc>
          <w:tcPr>
            <w:tcW w:type="dxa" w:w="21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Transformer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0.753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0.771</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0.439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w:t>
            </w:r>
          </w:p>
        </w:tc>
      </w:tr>
    </w:tbl>
    <w:p>
      <w:pPr>
        <w:spacing w:after="200" w:before="60"/>
      </w:pPr>
      <w:r>
        <w:rPr>
          <w:i/>
          <w:iCs/>
          <w:sz w:val="18"/>
          <w:szCs w:val="18"/>
        </w:rPr>
        <w:t xml:space="preserve">Table 14. Model-level results underlying ATT Faithfulness.</w:t>
      </w:r>
    </w:p>
    <w:p>
      <w:pPr>
        <w:spacing w:after="120"/>
      </w:pPr>
      <w:r>
        <w:t xml:space="preserve">No correlation is statistically significant in either branch, including without the two non-reproducible Keras models. As in Chapter 4, ATT Faithfulness under the performance–attribution criterion is not demonstrated; with ten models only strong correlations would be detectable.</w:t>
      </w:r>
    </w:p>
    <w:p>
      <w:pPr>
        <w:pStyle w:val="Heading2"/>
      </w:pPr>
      <w:r>
        <w:t xml:space="preserve">5.5 ATT stability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975"/>
        <w:gridCol w:w="975"/>
        <w:gridCol w:w="975"/>
        <w:gridCol w:w="975"/>
        <w:gridCol w:w="975"/>
        <w:gridCol w:w="975"/>
        <w:gridCol w:w="975"/>
        <w:gridCol w:w="975"/>
      </w:tblGrid>
      <w:tr>
        <w:trPr>
          <w:tblHeader/>
        </w:trPr>
        <w:tc>
          <w:tcPr>
            <w:tcW w:type="dxa" w:w="12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6"/>
                <w:szCs w:val="16"/>
              </w:rPr>
              <w:t xml:space="preserve">Branch</w:t>
            </w:r>
          </w:p>
        </w:tc>
        <w:tc>
          <w:tcPr>
            <w:tcW w:type="dxa" w:w="975"/>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North J</w:t>
            </w:r>
          </w:p>
        </w:tc>
        <w:tc>
          <w:tcPr>
            <w:tcW w:type="dxa" w:w="975"/>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ρ</w:t>
            </w:r>
          </w:p>
        </w:tc>
        <w:tc>
          <w:tcPr>
            <w:tcW w:type="dxa" w:w="975"/>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East J</w:t>
            </w:r>
          </w:p>
        </w:tc>
        <w:tc>
          <w:tcPr>
            <w:tcW w:type="dxa" w:w="975"/>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ρ</w:t>
            </w:r>
          </w:p>
        </w:tc>
        <w:tc>
          <w:tcPr>
            <w:tcW w:type="dxa" w:w="975"/>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South J</w:t>
            </w:r>
          </w:p>
        </w:tc>
        <w:tc>
          <w:tcPr>
            <w:tcW w:type="dxa" w:w="975"/>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ρ</w:t>
            </w:r>
          </w:p>
        </w:tc>
        <w:tc>
          <w:tcPr>
            <w:tcW w:type="dxa" w:w="975"/>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West J</w:t>
            </w:r>
          </w:p>
        </w:tc>
        <w:tc>
          <w:tcPr>
            <w:tcW w:type="dxa" w:w="975"/>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ρ</w:t>
            </w:r>
          </w:p>
        </w:tc>
      </w:tr>
      <w:tr>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Feature</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1.000</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0.9987</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1.000</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0.9991</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1.000</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0.9991</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1.000</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0.9996</w:t>
            </w:r>
          </w:p>
        </w:tc>
      </w:tr>
      <w:tr>
        <w:tc>
          <w:tcPr>
            <w:tcW w:type="dxa" w:w="1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6"/>
                <w:szCs w:val="16"/>
              </w:rPr>
              <w:t xml:space="preserve">Geo</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1.000</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0.9782</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1.000</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0.9786</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1.000</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0.9784</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1.000</w:t>
            </w:r>
          </w:p>
        </w:tc>
        <w:tc>
          <w:tcPr>
            <w:tcW w:type="dxa" w:w="975"/>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6"/>
                <w:szCs w:val="16"/>
              </w:rPr>
              <w:t xml:space="preserve">0.9790</w:t>
            </w:r>
          </w:p>
        </w:tc>
      </w:tr>
    </w:tbl>
    <w:p>
      <w:pPr>
        <w:spacing w:after="200" w:before="60"/>
      </w:pPr>
      <w:r>
        <w:rPr>
          <w:i/>
          <w:iCs/>
          <w:sz w:val="18"/>
          <w:szCs w:val="18"/>
        </w:rPr>
        <w:t xml:space="preserve">Table 15. ATT stability at N = 4,000 under one neighbouring-LSOA addition per cardinal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2"/>
        <w:gridCol w:w="1806"/>
        <w:gridCol w:w="1806"/>
        <w:gridCol w:w="1806"/>
        <w:gridCol w:w="1806"/>
      </w:tblGrid>
      <w:tr>
        <w:trPr>
          <w:tblHeader/>
        </w:trPr>
        <w:tc>
          <w:tcPr>
            <w:tcW w:type="dxa" w:w="1802"/>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Addition</w:t>
            </w:r>
          </w:p>
        </w:tc>
        <w:tc>
          <w:tcPr>
            <w:tcW w:type="dxa" w:w="18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LSOA</w:t>
            </w:r>
          </w:p>
        </w:tc>
        <w:tc>
          <w:tcPr>
            <w:tcW w:type="dxa" w:w="18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Rank</w:t>
            </w:r>
          </w:p>
        </w:tc>
        <w:tc>
          <w:tcPr>
            <w:tcW w:type="dxa" w:w="18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Coefficient</w:t>
            </w:r>
          </w:p>
        </w:tc>
        <w:tc>
          <w:tcPr>
            <w:tcW w:type="dxa" w:w="180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In top 20</w:t>
            </w:r>
          </w:p>
        </w:tc>
      </w:tr>
      <w:tr>
        <w:tc>
          <w:tcPr>
            <w:tcW w:type="dxa" w:w="18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North</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E01012953</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80</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-0.0349</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No</w:t>
            </w:r>
          </w:p>
        </w:tc>
      </w:tr>
      <w:tr>
        <w:tc>
          <w:tcPr>
            <w:tcW w:type="dxa" w:w="18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East</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E01013094</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73</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-0.0315</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No</w:t>
            </w:r>
          </w:p>
        </w:tc>
      </w:tr>
      <w:tr>
        <w:tc>
          <w:tcPr>
            <w:tcW w:type="dxa" w:w="18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South</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E01013009</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52</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-0.0134</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No</w:t>
            </w:r>
          </w:p>
        </w:tc>
      </w:tr>
      <w:tr>
        <w:tc>
          <w:tcPr>
            <w:tcW w:type="dxa" w:w="1802"/>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West</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E01013112</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80</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-0.0354</w:t>
            </w:r>
          </w:p>
        </w:tc>
        <w:tc>
          <w:tcPr>
            <w:tcW w:type="dxa" w:w="180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No</w:t>
            </w:r>
          </w:p>
        </w:tc>
      </w:tr>
    </w:tbl>
    <w:p>
      <w:pPr>
        <w:spacing w:after="200" w:before="60"/>
      </w:pPr>
      <w:r>
        <w:rPr>
          <w:i/>
          <w:iCs/>
          <w:sz w:val="18"/>
          <w:szCs w:val="18"/>
        </w:rPr>
        <w:t xml:space="preserve">Table 16. Geo ranks of the added LSOAs.</w:t>
      </w:r>
    </w:p>
    <w:p>
      <w:pPr>
        <w:spacing w:after="120"/>
      </w:pPr>
      <w:r>
        <w:t xml:space="preserve">Both top sets are fully preserved (Jaccard 1.000). Full-vector Spearman is 0.9991 for Feature and 0.9785 for Geo; the Geo value is lower than in the area-data design because a neighbour addition also changes the donor pool. Under a fixed inverse kernel, the west addition retains all 20 baseline LSOAs (Jaccard 1.000, ρ = 0.9788, added rank 80).</w:t>
      </w:r>
    </w:p>
    <w:p>
      <w:pPr>
        <w:pStyle w:val="Heading2"/>
      </w:pPr>
      <w:r>
        <w:t xml:space="preserve">5.6 ATT consistency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1520"/>
        <w:gridCol w:w="1520"/>
        <w:gridCol w:w="1520"/>
        <w:gridCol w:w="1520"/>
        <w:gridCol w:w="1520"/>
      </w:tblGrid>
      <w:tr>
        <w:trPr>
          <w:tblHeader/>
        </w:trPr>
        <w:tc>
          <w:tcPr>
            <w:tcW w:type="dxa" w:w="14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Branch</w:t>
            </w:r>
          </w:p>
        </w:tc>
        <w:tc>
          <w:tcPr>
            <w:tcW w:type="dxa" w:w="152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Mean var.</w:t>
            </w:r>
          </w:p>
        </w:tc>
        <w:tc>
          <w:tcPr>
            <w:tcW w:type="dxa" w:w="152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Median var.</w:t>
            </w:r>
          </w:p>
        </w:tc>
        <w:tc>
          <w:tcPr>
            <w:tcW w:type="dxa" w:w="152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Mean SD</w:t>
            </w:r>
          </w:p>
        </w:tc>
        <w:tc>
          <w:tcPr>
            <w:tcW w:type="dxa" w:w="152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Median SD</w:t>
            </w:r>
          </w:p>
        </w:tc>
        <w:tc>
          <w:tcPr>
            <w:tcW w:type="dxa" w:w="152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Max SD</w:t>
            </w:r>
          </w:p>
        </w:tc>
      </w:tr>
      <w:t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Feature</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0.000197</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0.000149</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0.01305</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0.01220</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0.02437</w:t>
            </w:r>
          </w:p>
        </w:tc>
      </w:tr>
      <w:tr>
        <w:tc>
          <w:tcPr>
            <w:tcW w:type="dxa" w:w="14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Geo</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5.68×10⁻⁵</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4.06×10⁻⁵</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0.00668</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0.00637</w:t>
            </w:r>
          </w:p>
        </w:tc>
        <w:tc>
          <w:tcPr>
            <w:tcW w:type="dxa" w:w="152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0.03851</w:t>
            </w:r>
          </w:p>
        </w:tc>
      </w:tr>
    </w:tbl>
    <w:p>
      <w:pPr>
        <w:spacing w:after="200" w:before="60"/>
      </w:pPr>
      <w:r>
        <w:rPr>
          <w:i/>
          <w:iCs/>
          <w:sz w:val="18"/>
          <w:szCs w:val="18"/>
        </w:rPr>
        <w:t xml:space="preserve">Table 17. ATT consistency across five independently seeded perturbation runs (seeds 100–104).</w:t>
      </w:r>
    </w:p>
    <w:p>
      <w:pPr>
        <w:spacing w:after="120"/>
      </w:pPr>
      <w:r>
        <w:t xml:space="preserve">The largest Geo SD occurs for 029E (Old Town), 3.4% of its mean coefficient of 1.119. Supplementary measures: rank Spearman 0.915 (Feature) and 0.904 (Geo); score Pearson 0.9998 and 0.9964; top-20% Jaccard 1.000 and 0.859.</w:t>
      </w:r>
    </w:p>
    <w:p>
      <w:pPr>
        <w:pStyle w:val="Heading2"/>
      </w:pPr>
      <w:r>
        <w:t xml:space="preserve">5.7 Additional diagnostics</w:t>
      </w:r>
    </w:p>
    <w:p>
      <w:pPr>
        <w:spacing w:after="120"/>
      </w:pPr>
      <w:r>
        <w:t xml:space="preserve">Attribution concentration. Feature Hoyer sparsity 0.858, Gini 0.814, entropy 1.696; Geo (on the single-LSOA shift) Hoyer 0.479, Gini 0.502, entropy 4.608. Feature attribution is concentrated on a few crime-history predictors; geographic sensitivity is spread more widely, with Old Town as a pronounced outlier.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2900"/>
        <w:gridCol w:w="2900"/>
      </w:tblGrid>
      <w:tr>
        <w:trPr>
          <w:tblHeader/>
        </w:trPr>
        <w:tc>
          <w:tcPr>
            <w:tcW w:type="dxa" w:w="32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8"/>
                <w:szCs w:val="18"/>
              </w:rPr>
              <w:t xml:space="preserve">Metric</w:t>
            </w:r>
          </w:p>
        </w:tc>
        <w:tc>
          <w:tcPr>
            <w:tcW w:type="dxa" w:w="29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Feature</w:t>
            </w:r>
          </w:p>
        </w:tc>
        <w:tc>
          <w:tcPr>
            <w:tcW w:type="dxa" w:w="29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8"/>
                <w:szCs w:val="18"/>
              </w:rPr>
              <w:t xml:space="preserve">Geo</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k</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20</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Top response</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8.4685</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1.8409</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Bottom response</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0.7787</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0.0986</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Random mean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3.9699</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0.5680</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Random 95% interval</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0.747–8.253</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0.316–1.042</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Top − random</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4.4986</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1.2728</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Top − bottom</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7.6898</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1.7422</w:t>
            </w:r>
          </w:p>
        </w:tc>
      </w:tr>
      <w:tr>
        <w:tc>
          <w:tcPr>
            <w:tcW w:type="dxa" w:w="32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Empirical p</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0.010</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0.001</w:t>
            </w:r>
          </w:p>
        </w:tc>
      </w:tr>
    </w:tbl>
    <w:p>
      <w:pPr>
        <w:spacing w:after="200" w:before="60"/>
      </w:pPr>
      <w:r>
        <w:rPr>
          <w:i/>
          <w:iCs/>
          <w:sz w:val="18"/>
          <w:szCs w:val="18"/>
        </w:rPr>
        <w:t xml:space="preserve">Table 18. Intervention-based attribution impact (1,000 random sets; Geo random sets matched on population and area).</w:t>
      </w:r>
    </w:p>
    <w:p>
      <w:pPr>
        <w:spacing w:after="120"/>
      </w:pPr>
      <w:r>
        <w:t xml:space="preserve">In both branches the highest-ranked players change the model's predictions more than random sets (Geo p = 0.001, the smallest attainable), so the rankings identify players with genuinely larger model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900"/>
        <w:gridCol w:w="1150"/>
        <w:gridCol w:w="1050"/>
        <w:gridCol w:w="1000"/>
        <w:gridCol w:w="1100"/>
        <w:gridCol w:w="1500"/>
        <w:gridCol w:w="1300"/>
      </w:tblGrid>
      <w:tr>
        <w:trPr>
          <w:tblHeader/>
        </w:trPr>
        <w:tc>
          <w:tcPr>
            <w:tcW w:type="dxa" w:w="1026"/>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left"/>
            </w:pPr>
            <w:r>
              <w:rPr>
                <w:b/>
                <w:bCs/>
                <w:sz w:val="16"/>
                <w:szCs w:val="16"/>
              </w:rPr>
              <w:t xml:space="preserve">Branch</w:t>
            </w:r>
          </w:p>
        </w:tc>
        <w:tc>
          <w:tcPr>
            <w:tcW w:type="dxa" w:w="9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N</w:t>
            </w:r>
          </w:p>
        </w:tc>
        <w:tc>
          <w:tcPr>
            <w:tcW w:type="dxa" w:w="115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Fidelity R²</w:t>
            </w:r>
          </w:p>
        </w:tc>
        <w:tc>
          <w:tcPr>
            <w:tcW w:type="dxa" w:w="105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Accuracy</w:t>
            </w:r>
          </w:p>
        </w:tc>
        <w:tc>
          <w:tcPr>
            <w:tcW w:type="dxa" w:w="10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ΔW1</w:t>
            </w:r>
          </w:p>
        </w:tc>
        <w:tc>
          <w:tcPr>
            <w:tcW w:type="dxa" w:w="11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Stability J</w:t>
            </w:r>
          </w:p>
        </w:tc>
        <w:tc>
          <w:tcPr>
            <w:tcW w:type="dxa" w:w="15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Mean var.</w:t>
            </w:r>
          </w:p>
        </w:tc>
        <w:tc>
          <w:tcPr>
            <w:tcW w:type="dxa" w:w="1300"/>
            <w:tcBorders>
              <w:top w:val="single" w:color="BFBFBF" w:sz="4"/>
              <w:left w:val="single" w:color="BFBFBF" w:sz="4"/>
              <w:bottom w:val="single" w:color="BFBFBF" w:sz="4"/>
              <w:right w:val="single" w:color="BFBFBF" w:sz="4"/>
            </w:tcBorders>
            <w:shd w:fill="E8EEF4" w:val="clear"/>
            <w:tcMar>
              <w:top w:type="dxa" w:w="40"/>
              <w:left w:type="dxa" w:w="80"/>
              <w:bottom w:type="dxa" w:w="40"/>
              <w:right w:type="dxa" w:w="80"/>
            </w:tcMar>
          </w:tcPr>
          <w:p>
            <w:pPr>
              <w:jc w:val="right"/>
            </w:pPr>
            <w:r>
              <w:rPr>
                <w:b/>
                <w:bCs/>
                <w:sz w:val="16"/>
                <w:szCs w:val="16"/>
              </w:rPr>
              <w:t xml:space="preserve">Mean SD</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Feature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0.9837</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7/10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4.505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0.000915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0.02854</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Feature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2,000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0.9851</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7/10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4.513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0.000414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0.01951</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Feature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3,000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0.9845</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7/10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4.509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0.000285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0.01646</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6"/>
                <w:szCs w:val="16"/>
              </w:rPr>
              <w:t xml:space="preserve">Feature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4,000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0.9850</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7/10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4.499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0.000197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0.01305</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Feature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5,000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0.9850</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7/10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4.508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0.000155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0.01168</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Feature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7,500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0.9852</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7/10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4.510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0.000109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0.00968</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Feature</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0.9842</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7/10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4.503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0.000093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0.00885</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Geo</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0.9104</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16/20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1.214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0.905</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1.91×10⁻⁴</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0.01293</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Geo</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2,000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0.9135</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16/20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1.263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0.905</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8.80×10⁻⁵</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0.00873</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Geo</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3,000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0.9247</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16/20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1.264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6.43×10⁻⁵</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0.00727</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6"/>
                <w:szCs w:val="16"/>
              </w:rPr>
              <w:t xml:space="preserve">Geo</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4,000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0.9296</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16/20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1.273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5.68×10⁻⁵</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6"/>
                <w:szCs w:val="16"/>
              </w:rPr>
              <w:t xml:space="preserve">0.00668</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Geo</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5,000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0.9286</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16/20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1.312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5.30×10⁻⁵</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0.00635</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Geo</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7,500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0.9283</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16/20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1.315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2.84×10⁻⁵</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0.00497</w:t>
            </w:r>
          </w:p>
        </w:tc>
      </w:tr>
      <w:tr>
        <w:tc>
          <w:tcPr>
            <w:tcW w:type="dxa" w:w="1026"/>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val="false"/>
                <w:bCs w:val="false"/>
                <w:sz w:val="16"/>
                <w:szCs w:val="16"/>
              </w:rPr>
              <w:t xml:space="preserve">Geo</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0.9272</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16/20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1.300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1.000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1.92×10⁻⁵</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6"/>
                <w:szCs w:val="16"/>
              </w:rPr>
              <w:t xml:space="preserve">0.00407</w:t>
            </w:r>
          </w:p>
        </w:tc>
      </w:tr>
    </w:tbl>
    <w:p>
      <w:pPr>
        <w:spacing w:after="200" w:before="60"/>
      </w:pPr>
      <w:r>
        <w:rPr>
          <w:i/>
          <w:iCs/>
          <w:sz w:val="18"/>
          <w:szCs w:val="18"/>
        </w:rPr>
        <w:t xml:space="preserve">Table 19. Evaluation diagnostics across perturbation budgets.</w:t>
      </w:r>
    </w:p>
    <w:p>
      <w:pPr>
        <w:jc w:val="center"/>
      </w:pPr>
      <w:r>
        <w:drawing>
          <wp:inline distT="0" distB="0" distL="0" distR="0">
            <wp:extent cx="5905500" cy="1323975"/>
            <wp:effectExtent t="0" r="0" b="0" l="0"/>
            <wp:docPr id="1" name="metrics_by_n.png" descr="metrics_by_n.png" title="metrics_by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323975"/>
                    </a:xfrm>
                    <a:prstGeom prst="rect">
                      <a:avLst/>
                    </a:prstGeom>
                  </pic:spPr>
                </pic:pic>
              </a:graphicData>
            </a:graphic>
          </wp:inline>
        </w:drawing>
      </w:r>
    </w:p>
    <w:p>
      <w:pPr>
        <w:spacing w:after="200" w:before="60"/>
      </w:pPr>
      <w:r>
        <w:rPr>
          <w:i/>
          <w:iCs/>
          <w:sz w:val="18"/>
          <w:szCs w:val="18"/>
        </w:rPr>
        <w:t xml:space="preserve">Figure 9. Fidelity, intervention impact, stability and consistency across perturbation budgets.</w:t>
      </w:r>
    </w:p>
    <w:p>
      <w:pPr>
        <w:spacing w:after="120"/>
      </w:pPr>
      <w:r>
        <w:t xml:space="preserve">Geo accuracy is 16/20 at every budget and the intervention effect is stable at about 1.2–1.3. Geo fidelity rises from 0.910 at N = 1,000 to about 0.93 from N = 4,000; Geo stability is complete from N = 3,000 (one top-20 change per addition at N = 1,000 and 2,000); Geo rank consistency rises steadily from 0.775 to 0.948 at N = 10,000, reflecting the additional sampling noise of random donors.</w:t>
      </w:r>
    </w:p>
    <w:p>
      <w:pPr>
        <w:pStyle w:val="Heading1"/>
      </w:pPr>
      <w:r>
        <w:t xml:space="preserve">6. Conclusion</w:t>
      </w:r>
    </w:p>
    <w:p>
      <w:pPr>
        <w:spacing w:after="120"/>
      </w:pPr>
      <w:r>
        <w:t xml:space="preserve">Under the random-donor design, both branches explain one XGBoost model that includes location, as in Seattle and Chicago. The Geo branch is well represented by the weighted-Ridge surrogate (R² ≈ 0.93), reproduces the exact single-LSOA ranking, is stable under neighbouring-LSOA additions and identifies LSOAs whose relocation changes predictions far more than random sets. Its ranking concentrates on Old Town and the city-centre to Hessle Road corridor and agrees with expert maps 1 and 3.</w:t>
      </w:r>
    </w:p>
    <w:p>
      <w:pPr>
        <w:spacing w:after="120"/>
      </w:pPr>
      <w:r>
        <w:t xml:space="preserve">Three qualifications should accompany these results. First, because the model is Poisson, the absolute response grows with an area's predicted crime level; the Geo ranking correlates with crime level at ρ = 0.79, and a crime-level ranking alone achieves similar expert agreement. The design therefore identifies where location uncertainty changes predicted crime most in absolute terms. Second, the effect of location is small: relocating an area changes its predictions by about 0.31 crimes per month at the median. Third, ATT Faithfulness is not demonstrated, and agreement with the expert depends on which expert map is used (significant for maps 1 and 3, not for map 2).</w:t>
      </w:r>
    </w:p>
    <w:p>
      <w:pPr>
        <w:spacing w:after="120"/>
      </w:pPr>
      <w:r>
        <w:rPr>
          <w:b/>
          <w:bCs/>
        </w:rPr>
        <w:t xml:space="preserve">Sources: </w:t>
      </w:r>
      <w:r>
        <w:t xml:space="preserve">outputs/geo_random_donor_design/ (Geo branch; geo_random_donor_eval.py) and outputs/geo_aligned_design/ (Feature branch and predictive models; hull_aligned_design_eval.py). All results are model sensitivity, not causal effects.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qFormat/>
    <w:pPr>
      <w:spacing w:after="140" w:before="30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1234a911479458e649db010156233662a15147.png"/><Relationship Id="rId9" Type="http://schemas.openxmlformats.org/officeDocument/2006/relationships/image" Target="media/ab720d1a689796f30991e1ada0c477509a94c187.png"/><Relationship Id="rId10" Type="http://schemas.openxmlformats.org/officeDocument/2006/relationships/image" Target="media/8a4aeddf21429b5084595b44b8feb10ef7546bd6.png"/><Relationship Id="rId11" Type="http://schemas.openxmlformats.org/officeDocument/2006/relationships/image" Target="media/f8d9f3d03893da13a0de1c011caf21a63b1b5752.png"/><Relationship Id="rId12" Type="http://schemas.openxmlformats.org/officeDocument/2006/relationships/image" Target="media/6aa2bed270b4475eb5cb34b2f7123cdbb578a9b9.png"/><Relationship Id="rId13" Type="http://schemas.openxmlformats.org/officeDocument/2006/relationships/image" Target="media/8503ee9c2c254829e6468ee5fdc9c74b4e3668f0.png"/><Relationship Id="rId14" Type="http://schemas.openxmlformats.org/officeDocument/2006/relationships/image" Target="media/4d7ab0df99e6a794fe245ec352389d2cede524aa.png"/><Relationship Id="rId15" Type="http://schemas.openxmlformats.org/officeDocument/2006/relationships/image" Target="media/e83b540402e77c9f1324c9b941b249f631d46e64.png"/><Relationship Id="rId16" Type="http://schemas.openxmlformats.org/officeDocument/2006/relationships/image" Target="media/cbb9961d0e1402c371989eb6ba08137b7ccc99c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Hull Geo-SMILE random-donor design: Chapter 4 results</dc:title>
  <dc:creator>GeoSMILE analysis</dc:creator>
  <cp:lastModifiedBy>Un-named</cp:lastModifiedBy>
  <cp:revision>1</cp:revision>
  <dcterms:created xsi:type="dcterms:W3CDTF">2026-10-19T12:00:09.487Z</dcterms:created>
  <dcterms:modified xsi:type="dcterms:W3CDTF">2026-10-19T12:00:09.487Z</dcterms:modified>
</cp:coreProperties>
</file>

<file path=docProps/custom.xml><?xml version="1.0" encoding="utf-8"?>
<Properties xmlns="http://schemas.openxmlformats.org/officeDocument/2006/custom-properties" xmlns:vt="http://schemas.openxmlformats.org/officeDocument/2006/docPropsVTypes"/>
</file>