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6F5D" w14:textId="77777777" w:rsidR="008C6C56" w:rsidRPr="008C6C56" w:rsidRDefault="008C6C56" w:rsidP="008C6C56">
      <w:pPr>
        <w:pStyle w:val="ListParagraph"/>
        <w:jc w:val="cente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6C56">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Genetic Analysis of Congenital Anomalies and Neurodevelopmental Impairment in a Consanguineous Pedigree</w:t>
      </w:r>
    </w:p>
    <w:p w14:paraId="73630A59" w14:textId="77777777" w:rsidR="00396ADF" w:rsidRDefault="00396ADF" w:rsidP="008C6C56">
      <w:pPr>
        <w:pStyle w:val="ListParagraph"/>
        <w:jc w:val="center"/>
      </w:pPr>
    </w:p>
    <w:p w14:paraId="60118D2C" w14:textId="77777777" w:rsidR="00396ADF" w:rsidRPr="005D5DCA" w:rsidRDefault="00396ADF" w:rsidP="00396ADF">
      <w:pPr>
        <w:rPr>
          <w:sz w:val="16"/>
          <w:szCs w:val="16"/>
          <w:rtl/>
        </w:rPr>
      </w:pPr>
    </w:p>
    <w:p w14:paraId="0E0906D2" w14:textId="77777777" w:rsidR="00396ADF" w:rsidRDefault="00396ADF" w:rsidP="008C6C56">
      <w:pPr>
        <w:jc w:val="center"/>
        <w:rPr>
          <w:rtl/>
        </w:rPr>
      </w:pPr>
    </w:p>
    <w:p w14:paraId="55EA2DD3" w14:textId="77777777" w:rsidR="008C6C56" w:rsidRPr="008C6C56" w:rsidRDefault="008C6C56" w:rsidP="008C6C56">
      <w:pPr>
        <w:jc w:val="center"/>
        <w:rPr>
          <w:lang w:bidi="fa-IR"/>
        </w:rPr>
      </w:pPr>
      <w:r w:rsidRPr="008C6C56">
        <w:rPr>
          <w:b/>
          <w:bCs/>
          <w:lang w:bidi="fa-IR"/>
        </w:rPr>
        <w:t>Shadi Shams Zahraee</w:t>
      </w:r>
    </w:p>
    <w:p w14:paraId="13ECC967" w14:textId="77777777" w:rsidR="008C6C56" w:rsidRPr="008C6C56" w:rsidRDefault="008C6C56" w:rsidP="008C6C56">
      <w:pPr>
        <w:jc w:val="center"/>
        <w:rPr>
          <w:lang w:bidi="fa-IR"/>
        </w:rPr>
      </w:pPr>
      <w:r w:rsidRPr="008C6C56">
        <w:rPr>
          <w:i/>
          <w:iCs/>
          <w:lang w:bidi="fa-IR"/>
        </w:rPr>
        <w:t>Helix Institute for Medical &amp; Biological Sciences, Texas, USA</w:t>
      </w:r>
      <w:r w:rsidRPr="008C6C56">
        <w:rPr>
          <w:lang w:bidi="fa-IR"/>
        </w:rPr>
        <w:br/>
      </w:r>
      <w:hyperlink r:id="rId6" w:history="1">
        <w:r w:rsidRPr="008C6C56">
          <w:rPr>
            <w:rStyle w:val="Hyperlink"/>
            <w:lang w:bidi="fa-IR"/>
          </w:rPr>
          <w:t>https://www.helixinstitute.us/</w:t>
        </w:r>
      </w:hyperlink>
    </w:p>
    <w:p w14:paraId="7DF72E69" w14:textId="77777777" w:rsidR="008C6C56" w:rsidRPr="008C6C56" w:rsidRDefault="008C6C56" w:rsidP="008C6C56">
      <w:pPr>
        <w:jc w:val="center"/>
        <w:rPr>
          <w:lang w:bidi="fa-IR"/>
        </w:rPr>
      </w:pPr>
      <w:r w:rsidRPr="008C6C56">
        <w:rPr>
          <w:i/>
          <w:iCs/>
          <w:lang w:bidi="fa-IR"/>
        </w:rPr>
        <w:t>Genomics Comprehensive Research Laboratory, Tehran, Iran</w:t>
      </w:r>
      <w:r w:rsidRPr="008C6C56">
        <w:rPr>
          <w:lang w:bidi="fa-IR"/>
        </w:rPr>
        <w:br/>
      </w:r>
      <w:hyperlink r:id="rId7" w:history="1">
        <w:r w:rsidRPr="008C6C56">
          <w:rPr>
            <w:rStyle w:val="Hyperlink"/>
            <w:lang w:bidi="fa-IR"/>
          </w:rPr>
          <w:t>https://www.genomicslaboratory.ir/</w:t>
        </w:r>
      </w:hyperlink>
    </w:p>
    <w:p w14:paraId="4BC94911" w14:textId="77777777" w:rsidR="008C6C56" w:rsidRDefault="008C6C56" w:rsidP="008C6C56">
      <w:pPr>
        <w:jc w:val="center"/>
        <w:rPr>
          <w:rFonts w:hint="cs"/>
          <w:rtl/>
          <w:lang w:bidi="fa-IR"/>
        </w:rPr>
      </w:pPr>
    </w:p>
    <w:p w14:paraId="4CC41E19" w14:textId="77777777" w:rsidR="008C6C56" w:rsidRDefault="008C6C56" w:rsidP="008C6C56">
      <w:pPr>
        <w:jc w:val="center"/>
        <w:rPr>
          <w:rtl/>
        </w:rPr>
      </w:pPr>
    </w:p>
    <w:p w14:paraId="58E61589" w14:textId="77777777" w:rsidR="008C6C56" w:rsidRDefault="008C6C56" w:rsidP="008C6C56">
      <w:pPr>
        <w:jc w:val="center"/>
        <w:rPr>
          <w:rtl/>
        </w:rPr>
      </w:pPr>
    </w:p>
    <w:p w14:paraId="405EC602" w14:textId="77777777" w:rsidR="008C6C56" w:rsidRDefault="008C6C56" w:rsidP="008C6C56">
      <w:pPr>
        <w:jc w:val="center"/>
        <w:rPr>
          <w:rtl/>
        </w:rPr>
      </w:pPr>
    </w:p>
    <w:p w14:paraId="0B576E73" w14:textId="77777777" w:rsidR="00396ADF" w:rsidRDefault="00396ADF" w:rsidP="00396ADF">
      <w:pPr>
        <w:rPr>
          <w:rtl/>
        </w:rPr>
      </w:pPr>
    </w:p>
    <w:p w14:paraId="3434E22F" w14:textId="0A7D149F" w:rsidR="00396ADF" w:rsidRDefault="00396ADF" w:rsidP="00AE57E1">
      <w:pPr>
        <w:pStyle w:val="Heading1"/>
      </w:pPr>
      <w:r>
        <w:t>Project Overview</w:t>
      </w:r>
    </w:p>
    <w:p w14:paraId="6BD5E596" w14:textId="77777777" w:rsidR="00396ADF" w:rsidRDefault="00396ADF" w:rsidP="00396ADF">
      <w:pPr>
        <w:jc w:val="both"/>
      </w:pPr>
      <w:r>
        <w:t>This case study describes the manual filtering, review, and prioritization of genetic variants identified in a consanguineous pedigree affected by congenital anomalies and neurodevelopmental impairment.</w:t>
      </w:r>
    </w:p>
    <w:p w14:paraId="07D59465" w14:textId="77777777" w:rsidR="00396ADF" w:rsidRDefault="00396ADF" w:rsidP="00396ADF">
      <w:pPr>
        <w:jc w:val="both"/>
      </w:pPr>
      <w:r>
        <w:t>The analysis was performed using an annotated variant table derived from a targeted next-generation sequencing (NGS) panel. The available dataset was generated from the proband and contained extensive variant-level annotations from multiple genomic, population, clinical, and computational resources.</w:t>
      </w:r>
    </w:p>
    <w:p w14:paraId="27AAA58F" w14:textId="77777777" w:rsidR="00396ADF" w:rsidRDefault="00396ADF" w:rsidP="00396ADF">
      <w:pPr>
        <w:jc w:val="both"/>
      </w:pPr>
      <w:r>
        <w:t>The primary aim of the analysis was to systematically reduce the initial set of annotated variants and identify those potentially relevant to the reported clinical phenotype and suspected mode of inheritance.</w:t>
      </w:r>
    </w:p>
    <w:p w14:paraId="589E21A2" w14:textId="77777777" w:rsidR="00396ADF" w:rsidRDefault="00396ADF" w:rsidP="00396ADF"/>
    <w:p w14:paraId="457D3704" w14:textId="7B8CE04A" w:rsidR="00396ADF" w:rsidRDefault="00396ADF" w:rsidP="00AE57E1">
      <w:pPr>
        <w:pStyle w:val="Heading1"/>
      </w:pPr>
      <w:r>
        <w:t>Case Context</w:t>
      </w:r>
    </w:p>
    <w:p w14:paraId="6FB47542" w14:textId="77777777" w:rsidR="00396ADF" w:rsidRPr="005F2568" w:rsidRDefault="00396ADF" w:rsidP="00396ADF">
      <w:pPr>
        <w:spacing w:after="160" w:line="278" w:lineRule="auto"/>
      </w:pPr>
      <w:r w:rsidRPr="005F2568">
        <w:rPr>
          <w:b/>
          <w:bCs/>
        </w:rPr>
        <w:t>Pedigree and Clinical Findings (Summary):</w:t>
      </w:r>
    </w:p>
    <w:p w14:paraId="790358E3" w14:textId="77777777" w:rsidR="00396ADF" w:rsidRPr="005F2568" w:rsidRDefault="00396ADF" w:rsidP="00396ADF">
      <w:pPr>
        <w:spacing w:after="160" w:line="278" w:lineRule="auto"/>
      </w:pPr>
      <w:r w:rsidRPr="005F2568">
        <w:t>The family is consanguineous, with two affected siblings (</w:t>
      </w:r>
      <w:r w:rsidRPr="005F2568">
        <w:rPr>
          <w:b/>
          <w:bCs/>
        </w:rPr>
        <w:t>V:1</w:t>
      </w:r>
      <w:r w:rsidRPr="005F2568">
        <w:t xml:space="preserve"> and </w:t>
      </w:r>
      <w:r w:rsidRPr="005F2568">
        <w:rPr>
          <w:b/>
          <w:bCs/>
        </w:rPr>
        <w:t>V:4</w:t>
      </w:r>
      <w:r w:rsidRPr="005F2568">
        <w:t xml:space="preserve">) and no reported history of a similar disorder in other relatives. The proband, </w:t>
      </w:r>
      <w:r w:rsidRPr="005F2568">
        <w:rPr>
          <w:b/>
          <w:bCs/>
        </w:rPr>
        <w:t>V:1</w:t>
      </w:r>
      <w:r w:rsidRPr="005F2568">
        <w:t>, is male.</w:t>
      </w:r>
    </w:p>
    <w:p w14:paraId="1075FCAC" w14:textId="77777777" w:rsidR="00396ADF" w:rsidRPr="005F2568" w:rsidRDefault="00396ADF" w:rsidP="00396ADF">
      <w:pPr>
        <w:spacing w:after="160" w:line="278" w:lineRule="auto"/>
      </w:pPr>
      <w:r w:rsidRPr="005F2568">
        <w:rPr>
          <w:b/>
          <w:bCs/>
        </w:rPr>
        <w:t>Shared clinical features in both affected individuals:</w:t>
      </w:r>
    </w:p>
    <w:p w14:paraId="196AFDDF" w14:textId="77777777" w:rsidR="00396ADF" w:rsidRPr="005F2568" w:rsidRDefault="00396ADF" w:rsidP="00396ADF">
      <w:pPr>
        <w:numPr>
          <w:ilvl w:val="0"/>
          <w:numId w:val="2"/>
        </w:numPr>
        <w:spacing w:after="160" w:line="278" w:lineRule="auto"/>
      </w:pPr>
      <w:r w:rsidRPr="005F2568">
        <w:t>Neurodevelopmental impairment (developmental delay, trainable intellectual disability)</w:t>
      </w:r>
    </w:p>
    <w:p w14:paraId="389A0E02" w14:textId="77777777" w:rsidR="00396ADF" w:rsidRPr="005F2568" w:rsidRDefault="00396ADF" w:rsidP="00396ADF">
      <w:pPr>
        <w:numPr>
          <w:ilvl w:val="0"/>
          <w:numId w:val="2"/>
        </w:numPr>
        <w:spacing w:after="160" w:line="278" w:lineRule="auto"/>
      </w:pPr>
      <w:r w:rsidRPr="005F2568">
        <w:t>Visual impairment</w:t>
      </w:r>
    </w:p>
    <w:p w14:paraId="09182CD6" w14:textId="77777777" w:rsidR="00396ADF" w:rsidRPr="005F2568" w:rsidRDefault="00396ADF" w:rsidP="00396ADF">
      <w:pPr>
        <w:numPr>
          <w:ilvl w:val="0"/>
          <w:numId w:val="2"/>
        </w:numPr>
        <w:spacing w:after="160" w:line="278" w:lineRule="auto"/>
      </w:pPr>
      <w:r w:rsidRPr="005F2568">
        <w:t>Unclear speech</w:t>
      </w:r>
    </w:p>
    <w:p w14:paraId="7F7CB381" w14:textId="77777777" w:rsidR="00396ADF" w:rsidRPr="005F2568" w:rsidRDefault="00396ADF" w:rsidP="00396ADF">
      <w:pPr>
        <w:numPr>
          <w:ilvl w:val="0"/>
          <w:numId w:val="2"/>
        </w:numPr>
        <w:spacing w:after="160" w:line="278" w:lineRule="auto"/>
      </w:pPr>
      <w:r w:rsidRPr="005F2568">
        <w:rPr>
          <w:b/>
          <w:bCs/>
        </w:rPr>
        <w:t>Microcephaly:</w:t>
      </w:r>
      <w:r w:rsidRPr="005F2568">
        <w:t xml:space="preserve"> </w:t>
      </w:r>
    </w:p>
    <w:p w14:paraId="6DFF4AAE" w14:textId="77777777" w:rsidR="00396ADF" w:rsidRPr="005F2568" w:rsidRDefault="00396ADF" w:rsidP="00396ADF">
      <w:pPr>
        <w:numPr>
          <w:ilvl w:val="1"/>
          <w:numId w:val="2"/>
        </w:numPr>
        <w:spacing w:after="160" w:line="278" w:lineRule="auto"/>
      </w:pPr>
      <w:r w:rsidRPr="005F2568">
        <w:t>V:1 (proband, male, age 32): OFC 51 cm → −2.77 SD</w:t>
      </w:r>
    </w:p>
    <w:p w14:paraId="75E0E7EC" w14:textId="77777777" w:rsidR="00396ADF" w:rsidRPr="005F2568" w:rsidRDefault="00396ADF" w:rsidP="00396ADF">
      <w:pPr>
        <w:numPr>
          <w:ilvl w:val="1"/>
          <w:numId w:val="2"/>
        </w:numPr>
        <w:spacing w:after="160" w:line="278" w:lineRule="auto"/>
      </w:pPr>
      <w:r w:rsidRPr="005F2568">
        <w:t>V:4 (female, age 30): OFC 50 cm → −4.07 SD</w:t>
      </w:r>
    </w:p>
    <w:p w14:paraId="502E4C88" w14:textId="77777777" w:rsidR="00396ADF" w:rsidRPr="005F2568" w:rsidRDefault="00396ADF" w:rsidP="00396ADF">
      <w:pPr>
        <w:spacing w:after="160" w:line="278" w:lineRule="auto"/>
      </w:pPr>
      <w:r w:rsidRPr="005F2568">
        <w:rPr>
          <w:b/>
          <w:bCs/>
        </w:rPr>
        <w:t>Distinguishing feature:</w:t>
      </w:r>
    </w:p>
    <w:p w14:paraId="1B3AEABB" w14:textId="77777777" w:rsidR="00396ADF" w:rsidRPr="005F2568" w:rsidRDefault="00396ADF" w:rsidP="00396ADF">
      <w:pPr>
        <w:numPr>
          <w:ilvl w:val="0"/>
          <w:numId w:val="3"/>
        </w:numPr>
        <w:spacing w:after="160" w:line="278" w:lineRule="auto"/>
      </w:pPr>
      <w:r w:rsidRPr="005F2568">
        <w:t>Cleft palate was reported only in the proband (V:1).</w:t>
      </w:r>
    </w:p>
    <w:p w14:paraId="3E4BBBEF" w14:textId="77777777" w:rsidR="00396ADF" w:rsidRPr="005F2568" w:rsidRDefault="00396ADF" w:rsidP="00396ADF">
      <w:pPr>
        <w:spacing w:after="160" w:line="278" w:lineRule="auto"/>
      </w:pPr>
      <w:r w:rsidRPr="005F2568">
        <w:rPr>
          <w:b/>
          <w:bCs/>
        </w:rPr>
        <w:t>Other pedigree members:</w:t>
      </w:r>
    </w:p>
    <w:p w14:paraId="7A759BE8" w14:textId="77777777" w:rsidR="00396ADF" w:rsidRPr="005F2568" w:rsidRDefault="00396ADF" w:rsidP="00396ADF">
      <w:pPr>
        <w:numPr>
          <w:ilvl w:val="0"/>
          <w:numId w:val="4"/>
        </w:numPr>
        <w:spacing w:after="160" w:line="278" w:lineRule="auto"/>
      </w:pPr>
      <w:r w:rsidRPr="005F2568">
        <w:lastRenderedPageBreak/>
        <w:t>One unaffected male sibling</w:t>
      </w:r>
    </w:p>
    <w:p w14:paraId="0CEB1C8E" w14:textId="77777777" w:rsidR="00396ADF" w:rsidRPr="005F2568" w:rsidRDefault="00396ADF" w:rsidP="00396ADF">
      <w:pPr>
        <w:numPr>
          <w:ilvl w:val="0"/>
          <w:numId w:val="4"/>
        </w:numPr>
        <w:spacing w:after="160" w:line="278" w:lineRule="auto"/>
      </w:pPr>
      <w:r w:rsidRPr="005F2568">
        <w:t>One unaffected individual in the subsequent generation</w:t>
      </w:r>
    </w:p>
    <w:p w14:paraId="32B31E12" w14:textId="1AFCD119" w:rsidR="00396ADF" w:rsidRDefault="00396ADF" w:rsidP="00396ADF">
      <w:r>
        <w:t>Based on the available pedigree structure</w:t>
      </w:r>
      <w:r w:rsidR="00BB45FE">
        <w:t xml:space="preserve"> </w:t>
      </w:r>
      <w:r>
        <w:t>(</w:t>
      </w:r>
      <w:r w:rsidRPr="005F2568">
        <w:t>Figure 1</w:t>
      </w:r>
      <w:r>
        <w:t>), particular attention was given to variants potentially compatible with an autosomal recessive mode of inheritance.</w:t>
      </w:r>
    </w:p>
    <w:p w14:paraId="1F124246" w14:textId="77777777" w:rsidR="00E30DC5" w:rsidRDefault="00E30DC5" w:rsidP="00396ADF"/>
    <w:p w14:paraId="0491D803" w14:textId="77777777" w:rsidR="00E30DC5" w:rsidRDefault="00E30DC5" w:rsidP="00396ADF"/>
    <w:p w14:paraId="5025B437" w14:textId="77777777" w:rsidR="00E30DC5" w:rsidRDefault="00E30DC5" w:rsidP="00396ADF"/>
    <w:p w14:paraId="1C957202" w14:textId="619A763D" w:rsidR="00396ADF" w:rsidRDefault="00E30DC5" w:rsidP="00E30DC5">
      <w:pPr>
        <w:jc w:val="center"/>
      </w:pPr>
      <w:r>
        <w:rPr>
          <w:noProof/>
        </w:rPr>
        <w:drawing>
          <wp:inline distT="0" distB="0" distL="0" distR="0" wp14:anchorId="50BA9733" wp14:editId="06A02C67">
            <wp:extent cx="3189802" cy="2600960"/>
            <wp:effectExtent l="190500" t="190500" r="182245" b="199390"/>
            <wp:docPr id="173771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r="4086" b="1892"/>
                    <a:stretch>
                      <a:fillRect/>
                    </a:stretch>
                  </pic:blipFill>
                  <pic:spPr bwMode="auto">
                    <a:xfrm>
                      <a:off x="0" y="0"/>
                      <a:ext cx="3206133" cy="261427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2819BAE" w14:textId="1CB93F5D" w:rsidR="00E30DC5" w:rsidRDefault="00D944A8" w:rsidP="00D944A8">
      <w:pPr>
        <w:jc w:val="center"/>
      </w:pPr>
      <w:r w:rsidRPr="00D944A8">
        <w:rPr>
          <w:sz w:val="18"/>
          <w:szCs w:val="18"/>
        </w:rPr>
        <w:t xml:space="preserve">Figure </w:t>
      </w:r>
      <w:r w:rsidRPr="00D944A8">
        <w:rPr>
          <w:sz w:val="18"/>
          <w:szCs w:val="18"/>
        </w:rPr>
        <w:t>1</w:t>
      </w:r>
      <w:r w:rsidRPr="00D944A8">
        <w:rPr>
          <w:sz w:val="18"/>
          <w:szCs w:val="18"/>
        </w:rPr>
        <w:t>. Pedigree of the studied consanguineous family showing affected and unaffected individuals</w:t>
      </w:r>
    </w:p>
    <w:p w14:paraId="273A2272" w14:textId="77777777" w:rsidR="00E30DC5" w:rsidRDefault="00E30DC5" w:rsidP="00E30DC5">
      <w:pPr>
        <w:jc w:val="center"/>
      </w:pPr>
    </w:p>
    <w:p w14:paraId="79A85161" w14:textId="77777777" w:rsidR="00E30DC5" w:rsidRDefault="00E30DC5" w:rsidP="00E30DC5">
      <w:pPr>
        <w:jc w:val="center"/>
      </w:pPr>
    </w:p>
    <w:p w14:paraId="2C43658F" w14:textId="6685707D" w:rsidR="00396ADF" w:rsidRDefault="00396ADF" w:rsidP="00D944A8">
      <w:pPr>
        <w:pStyle w:val="Heading1"/>
        <w:rPr>
          <w:lang w:bidi="fa-IR"/>
        </w:rPr>
      </w:pPr>
      <w:r>
        <w:rPr>
          <w:lang w:bidi="fa-IR"/>
        </w:rPr>
        <w:t>Available Data</w:t>
      </w:r>
    </w:p>
    <w:p w14:paraId="309BE695" w14:textId="77777777" w:rsidR="00396ADF" w:rsidRDefault="00396ADF" w:rsidP="00396ADF">
      <w:pPr>
        <w:jc w:val="both"/>
        <w:rPr>
          <w:lang w:bidi="fa-IR"/>
        </w:rPr>
      </w:pPr>
      <w:r w:rsidRPr="00B13C90">
        <w:rPr>
          <w:lang w:bidi="fa-IR"/>
        </w:rPr>
        <w:t>The analysis was based on a single annotated Excel worksheet derived from a targeted NGS panel VCF. Variant-level data were available only for the proband (V:1), while raw sequencing and VCF files were unavailable. Therefore, the analysis focused on downstream variant filtering, interpretation, and prioritization.</w:t>
      </w:r>
    </w:p>
    <w:p w14:paraId="67E9AE7B" w14:textId="77777777" w:rsidR="00396ADF" w:rsidRDefault="00396ADF" w:rsidP="00396ADF">
      <w:pPr>
        <w:jc w:val="both"/>
        <w:rPr>
          <w:lang w:bidi="fa-IR"/>
        </w:rPr>
      </w:pPr>
      <w:r w:rsidRPr="00B13C90">
        <w:rPr>
          <w:lang w:bidi="fa-IR"/>
        </w:rPr>
        <w:t xml:space="preserve">The </w:t>
      </w:r>
      <w:r w:rsidRPr="00B13C90">
        <w:rPr>
          <w:b/>
          <w:bCs/>
          <w:lang w:bidi="fa-IR"/>
        </w:rPr>
        <w:t>annotated dataset</w:t>
      </w:r>
      <w:r w:rsidRPr="00B13C90">
        <w:rPr>
          <w:lang w:bidi="fa-IR"/>
        </w:rPr>
        <w:t xml:space="preserve"> contained genomic and </w:t>
      </w:r>
      <w:r w:rsidRPr="00B13C90">
        <w:rPr>
          <w:b/>
          <w:bCs/>
          <w:lang w:bidi="fa-IR"/>
        </w:rPr>
        <w:t>gene-level information</w:t>
      </w:r>
      <w:r w:rsidRPr="00B13C90">
        <w:rPr>
          <w:lang w:bidi="fa-IR"/>
        </w:rPr>
        <w:t xml:space="preserve">, including chromosome and genomic coordinates, reference/alternate alleles, gene and region annotations, functional consequences, amino acid and transcript-level annotations, cytogenetic location, dbSNP/variant identifiers, and zygosity. </w:t>
      </w:r>
      <w:r w:rsidRPr="00B13C90">
        <w:rPr>
          <w:b/>
          <w:bCs/>
          <w:lang w:bidi="fa-IR"/>
        </w:rPr>
        <w:t>In silico functional predictions</w:t>
      </w:r>
      <w:r w:rsidRPr="00B13C90">
        <w:rPr>
          <w:lang w:bidi="fa-IR"/>
        </w:rPr>
        <w:t xml:space="preserve"> included SIFT, PolyPhen-2, LRT, MutationTaster, MutationAssessor, FATHMM, PROVEAN, VEST3, MetaSVM, MetaLR, M-CAP, CADD, DANN, Eigen, GenoCanyon, and integrated fitCons. </w:t>
      </w:r>
      <w:r w:rsidRPr="00B13C90">
        <w:rPr>
          <w:b/>
          <w:bCs/>
          <w:lang w:bidi="fa-IR"/>
        </w:rPr>
        <w:t>Evolutionary conservation scores</w:t>
      </w:r>
      <w:r w:rsidRPr="00B13C90">
        <w:rPr>
          <w:lang w:bidi="fa-IR"/>
        </w:rPr>
        <w:t xml:space="preserve"> included GERP++, phyloP, phastCons, and SiPhy. </w:t>
      </w:r>
      <w:r w:rsidRPr="00B13C90">
        <w:rPr>
          <w:b/>
          <w:bCs/>
          <w:lang w:bidi="fa-IR"/>
        </w:rPr>
        <w:t>Additional annotations</w:t>
      </w:r>
      <w:r w:rsidRPr="00B13C90">
        <w:rPr>
          <w:lang w:bidi="fa-IR"/>
        </w:rPr>
        <w:t xml:space="preserve"> comprised protein domains, splice prediction scores, and </w:t>
      </w:r>
      <w:r w:rsidRPr="00B13C90">
        <w:rPr>
          <w:b/>
          <w:bCs/>
          <w:lang w:bidi="fa-IR"/>
        </w:rPr>
        <w:t>population frequency data</w:t>
      </w:r>
      <w:r w:rsidRPr="00B13C90">
        <w:rPr>
          <w:lang w:bidi="fa-IR"/>
        </w:rPr>
        <w:t xml:space="preserve"> from ESP6500, ExAC, Kaviar, HRC, and 1000 Genomes. </w:t>
      </w:r>
      <w:r w:rsidRPr="00B13C90">
        <w:rPr>
          <w:b/>
          <w:bCs/>
          <w:lang w:bidi="fa-IR"/>
        </w:rPr>
        <w:t>Clinical annotations</w:t>
      </w:r>
      <w:r w:rsidRPr="00B13C90">
        <w:rPr>
          <w:lang w:bidi="fa-IR"/>
        </w:rPr>
        <w:t xml:space="preserve"> were obtained from ClinVar, including clinical significance and disease associations. The dataset also included automated InterVar classifications and individual ACMG/AMP evidence codes. These annotations were used for subsequent variant filtering and manual candidate prioritization.</w:t>
      </w:r>
    </w:p>
    <w:p w14:paraId="0AD7820C" w14:textId="77777777" w:rsidR="00396ADF" w:rsidRDefault="00396ADF" w:rsidP="00396ADF">
      <w:pPr>
        <w:jc w:val="both"/>
        <w:rPr>
          <w:lang w:bidi="fa-IR"/>
        </w:rPr>
      </w:pPr>
    </w:p>
    <w:p w14:paraId="08A4C647" w14:textId="77777777" w:rsidR="00396ADF" w:rsidRDefault="00396ADF" w:rsidP="00396ADF">
      <w:pPr>
        <w:jc w:val="both"/>
        <w:rPr>
          <w:rtl/>
          <w:lang w:bidi="fa-IR"/>
        </w:rPr>
      </w:pPr>
    </w:p>
    <w:p w14:paraId="379F8502" w14:textId="77777777" w:rsidR="004D2B2C" w:rsidRDefault="004D2B2C" w:rsidP="00396ADF">
      <w:pPr>
        <w:jc w:val="both"/>
        <w:rPr>
          <w:rtl/>
          <w:lang w:bidi="fa-IR"/>
        </w:rPr>
      </w:pPr>
    </w:p>
    <w:p w14:paraId="0CB9217A" w14:textId="77777777" w:rsidR="004D2B2C" w:rsidRDefault="004D2B2C" w:rsidP="00396ADF">
      <w:pPr>
        <w:jc w:val="both"/>
        <w:rPr>
          <w:rtl/>
          <w:lang w:bidi="fa-IR"/>
        </w:rPr>
      </w:pPr>
    </w:p>
    <w:p w14:paraId="569A9079" w14:textId="77777777" w:rsidR="004D2B2C" w:rsidRDefault="004D2B2C" w:rsidP="00396ADF">
      <w:pPr>
        <w:jc w:val="both"/>
        <w:rPr>
          <w:lang w:bidi="fa-IR"/>
        </w:rPr>
      </w:pPr>
    </w:p>
    <w:p w14:paraId="345742F2" w14:textId="703DA1E1" w:rsidR="00396ADF" w:rsidRPr="003E6F75" w:rsidRDefault="00396ADF" w:rsidP="00D944A8">
      <w:pPr>
        <w:pStyle w:val="Heading1"/>
        <w:rPr>
          <w:lang w:bidi="fa-IR"/>
        </w:rPr>
      </w:pPr>
      <w:r w:rsidRPr="003E6F75">
        <w:rPr>
          <w:lang w:bidi="fa-IR"/>
        </w:rPr>
        <w:lastRenderedPageBreak/>
        <w:t>Objective and Resources Used</w:t>
      </w:r>
    </w:p>
    <w:p w14:paraId="12B01DC0" w14:textId="77777777" w:rsidR="00396ADF" w:rsidRPr="003E6F75" w:rsidRDefault="00396ADF" w:rsidP="00396ADF">
      <w:pPr>
        <w:spacing w:after="160" w:line="278" w:lineRule="auto"/>
        <w:jc w:val="both"/>
        <w:rPr>
          <w:lang w:bidi="fa-IR"/>
        </w:rPr>
      </w:pPr>
      <w:r w:rsidRPr="003E6F75">
        <w:rPr>
          <w:lang w:bidi="fa-IR"/>
        </w:rPr>
        <w:t>This analysis aimed to filter and prioritize variants from an annotated targeted NGS dataset to identify candidates consistent with the clinical phenotype and suspected inheritance pattern.</w:t>
      </w:r>
    </w:p>
    <w:p w14:paraId="615257F5" w14:textId="647819E6" w:rsidR="005D67CC" w:rsidRDefault="00396ADF" w:rsidP="004D2B2C">
      <w:pPr>
        <w:spacing w:after="160" w:line="278" w:lineRule="auto"/>
        <w:jc w:val="both"/>
        <w:rPr>
          <w:rtl/>
          <w:lang w:bidi="fa-IR"/>
        </w:rPr>
      </w:pPr>
      <w:r w:rsidRPr="003E6F75">
        <w:rPr>
          <w:lang w:bidi="fa-IR"/>
        </w:rPr>
        <w:t>Variant interpretation drew on multiple resources: population frequency (gnomAD, ExAC, 1000 Genomes), clinical significance (ClinVar, InterVar), gene–disease and phenotype associations (OMIM, HPO), literature (PubMed), and gene/transcript annotation (Ensembl, NCBI). In silico predictors, conservation scores, and other dataset annotations were also incorporated.</w:t>
      </w:r>
    </w:p>
    <w:p w14:paraId="750DE806" w14:textId="77777777" w:rsidR="005D67CC" w:rsidRDefault="005D67CC" w:rsidP="00396ADF">
      <w:pPr>
        <w:jc w:val="both"/>
        <w:rPr>
          <w:rtl/>
          <w:lang w:bidi="fa-IR"/>
        </w:rPr>
      </w:pPr>
    </w:p>
    <w:p w14:paraId="41F69745" w14:textId="2AA216D6" w:rsidR="00396ADF" w:rsidRPr="003E6F75" w:rsidRDefault="00396ADF" w:rsidP="00D944A8">
      <w:pPr>
        <w:pStyle w:val="Heading1"/>
        <w:rPr>
          <w:lang w:bidi="fa-IR"/>
        </w:rPr>
      </w:pPr>
      <w:r w:rsidRPr="003E6F75">
        <w:rPr>
          <w:lang w:bidi="fa-IR"/>
        </w:rPr>
        <w:t>Analysis Workflow</w:t>
      </w:r>
    </w:p>
    <w:p w14:paraId="2C161652" w14:textId="77777777" w:rsidR="00396ADF" w:rsidRPr="003E6F75" w:rsidRDefault="00396ADF" w:rsidP="00396ADF">
      <w:pPr>
        <w:spacing w:after="160" w:line="278" w:lineRule="auto"/>
        <w:jc w:val="both"/>
        <w:rPr>
          <w:lang w:bidi="fa-IR"/>
        </w:rPr>
      </w:pPr>
      <w:r w:rsidRPr="003E6F75">
        <w:rPr>
          <w:lang w:bidi="fa-IR"/>
        </w:rPr>
        <w:t>The analysis followed a stepwise variant prioritization strategy, beginning with the annotated variant dataset from the proband. Each filtering step was based on specific genomic, functional, clinical, population, or inheritance-related criteria.</w:t>
      </w:r>
    </w:p>
    <w:p w14:paraId="20480B44" w14:textId="77777777" w:rsidR="00C73946" w:rsidRPr="00C73946" w:rsidRDefault="00C73946" w:rsidP="00C73946">
      <w:pPr>
        <w:spacing w:after="160" w:line="278" w:lineRule="auto"/>
        <w:jc w:val="both"/>
        <w:rPr>
          <w:b/>
          <w:bCs/>
          <w:lang w:bidi="fa-IR"/>
        </w:rPr>
      </w:pPr>
      <w:r w:rsidRPr="00C73946">
        <w:rPr>
          <w:b/>
          <w:bCs/>
          <w:lang w:bidi="fa-IR"/>
        </w:rPr>
        <w:t>Step 1 – Initial genomic and functional filtering</w:t>
      </w:r>
    </w:p>
    <w:p w14:paraId="06E4F7CA" w14:textId="77777777" w:rsidR="00C73946" w:rsidRPr="007D3255" w:rsidRDefault="00C73946" w:rsidP="00C73946">
      <w:pPr>
        <w:spacing w:after="160" w:line="278" w:lineRule="auto"/>
        <w:jc w:val="both"/>
        <w:rPr>
          <w:lang w:bidi="fa-IR"/>
        </w:rPr>
      </w:pPr>
      <w:r w:rsidRPr="007D3255">
        <w:rPr>
          <w:lang w:bidi="fa-IR"/>
        </w:rPr>
        <w:t>The annotated variant dataset was initially reviewed for genomic location and functional consequence. Non-exonic variants were excluded, while exonic, splicing, and exonic-splicing variants were retained for further analysis.</w:t>
      </w:r>
    </w:p>
    <w:p w14:paraId="1902A9D2" w14:textId="77777777" w:rsidR="00C73946" w:rsidRPr="00C73946" w:rsidRDefault="00C73946" w:rsidP="00C73946">
      <w:pPr>
        <w:spacing w:after="160" w:line="278" w:lineRule="auto"/>
        <w:jc w:val="both"/>
        <w:rPr>
          <w:b/>
          <w:bCs/>
          <w:lang w:bidi="fa-IR"/>
        </w:rPr>
      </w:pPr>
      <w:r w:rsidRPr="00C73946">
        <w:rPr>
          <w:b/>
          <w:bCs/>
          <w:lang w:bidi="fa-IR"/>
        </w:rPr>
        <w:t>Step 2 – Inheritance-based zygosity filtering</w:t>
      </w:r>
    </w:p>
    <w:p w14:paraId="1639A1ED" w14:textId="77777777" w:rsidR="00C73946" w:rsidRPr="007D3255" w:rsidRDefault="00C73946" w:rsidP="00C73946">
      <w:pPr>
        <w:spacing w:after="160" w:line="278" w:lineRule="auto"/>
        <w:jc w:val="both"/>
        <w:rPr>
          <w:lang w:bidi="fa-IR"/>
        </w:rPr>
      </w:pPr>
      <w:r w:rsidRPr="007D3255">
        <w:rPr>
          <w:lang w:bidi="fa-IR"/>
        </w:rPr>
        <w:t>Based on the consanguineous pedigree and the suspected autosomal recessive inheritance pattern, heterozygous variants were initially excluded and homozygous variants were prioritized for analysis.</w:t>
      </w:r>
    </w:p>
    <w:p w14:paraId="3C05C343" w14:textId="77777777" w:rsidR="00C73946" w:rsidRPr="00C73946" w:rsidRDefault="00C73946" w:rsidP="00C73946">
      <w:pPr>
        <w:spacing w:after="160" w:line="278" w:lineRule="auto"/>
        <w:jc w:val="both"/>
        <w:rPr>
          <w:b/>
          <w:bCs/>
          <w:lang w:bidi="fa-IR"/>
        </w:rPr>
      </w:pPr>
      <w:r w:rsidRPr="00C73946">
        <w:rPr>
          <w:b/>
          <w:bCs/>
          <w:lang w:bidi="fa-IR"/>
        </w:rPr>
        <w:t>Step 3 – Population frequency filtering</w:t>
      </w:r>
    </w:p>
    <w:p w14:paraId="4420A3BA" w14:textId="77777777" w:rsidR="00C73946" w:rsidRPr="007D3255" w:rsidRDefault="00C73946" w:rsidP="00C73946">
      <w:pPr>
        <w:spacing w:after="160" w:line="278" w:lineRule="auto"/>
        <w:jc w:val="both"/>
        <w:rPr>
          <w:lang w:bidi="fa-IR"/>
        </w:rPr>
      </w:pPr>
      <w:r w:rsidRPr="007D3255">
        <w:rPr>
          <w:lang w:bidi="fa-IR"/>
        </w:rPr>
        <w:t>Variants with an ExAC allele frequency &gt;5% were excluded. Although this threshold is relatively permissive, a higher frequency was considered inconsistent with a rare Mendelian disorder and therefore variants above this cutoff were removed.</w:t>
      </w:r>
    </w:p>
    <w:p w14:paraId="3335EDDD" w14:textId="77777777" w:rsidR="00C73946" w:rsidRPr="00C73946" w:rsidRDefault="00C73946" w:rsidP="00C73946">
      <w:pPr>
        <w:spacing w:after="160" w:line="278" w:lineRule="auto"/>
        <w:jc w:val="both"/>
        <w:rPr>
          <w:b/>
          <w:bCs/>
          <w:lang w:bidi="fa-IR"/>
        </w:rPr>
      </w:pPr>
      <w:r w:rsidRPr="00C73946">
        <w:rPr>
          <w:b/>
          <w:bCs/>
          <w:lang w:bidi="fa-IR"/>
        </w:rPr>
        <w:t>Step 4 – Clinical significance filtering</w:t>
      </w:r>
    </w:p>
    <w:p w14:paraId="36F30237" w14:textId="77777777" w:rsidR="00C73946" w:rsidRPr="004F6031" w:rsidRDefault="00C73946" w:rsidP="00C73946">
      <w:pPr>
        <w:spacing w:after="160" w:line="278" w:lineRule="auto"/>
        <w:jc w:val="both"/>
        <w:rPr>
          <w:lang w:bidi="fa-IR"/>
        </w:rPr>
      </w:pPr>
      <w:r w:rsidRPr="004F6031">
        <w:rPr>
          <w:lang w:bidi="fa-IR"/>
        </w:rPr>
        <w:t>Variants annotated as Benign or Likely Benign by InterVar were excluded. ClinVar clinical significance was not used as a direct filtering criterion at this stage because conflicting classifications were present and required individual database-level reassessment.</w:t>
      </w:r>
    </w:p>
    <w:p w14:paraId="23A8C409" w14:textId="77777777" w:rsidR="00C73946" w:rsidRPr="00C73946" w:rsidRDefault="00C73946" w:rsidP="00C73946">
      <w:pPr>
        <w:spacing w:after="160" w:line="278" w:lineRule="auto"/>
        <w:jc w:val="both"/>
        <w:rPr>
          <w:b/>
          <w:bCs/>
          <w:lang w:bidi="fa-IR"/>
        </w:rPr>
      </w:pPr>
      <w:r w:rsidRPr="00C73946">
        <w:rPr>
          <w:b/>
          <w:bCs/>
          <w:lang w:bidi="fa-IR"/>
        </w:rPr>
        <w:t>Step 5 – Variant quality filtering</w:t>
      </w:r>
    </w:p>
    <w:p w14:paraId="1C754EC2" w14:textId="77777777" w:rsidR="00C73946" w:rsidRPr="004F6031" w:rsidRDefault="00C73946" w:rsidP="00C73946">
      <w:pPr>
        <w:spacing w:after="160" w:line="278" w:lineRule="auto"/>
        <w:jc w:val="both"/>
        <w:rPr>
          <w:lang w:bidi="fa-IR"/>
        </w:rPr>
      </w:pPr>
      <w:r w:rsidRPr="004F6031">
        <w:rPr>
          <w:lang w:bidi="fa-IR"/>
        </w:rPr>
        <w:t>Variant-level sequencing quality was assessed, and only variants meeting the available PASS quality criterion were retained for downstream analysis.</w:t>
      </w:r>
    </w:p>
    <w:p w14:paraId="5B5B38E0" w14:textId="77777777" w:rsidR="00C73946" w:rsidRPr="00C73946" w:rsidRDefault="00C73946" w:rsidP="00C73946">
      <w:pPr>
        <w:spacing w:after="160" w:line="278" w:lineRule="auto"/>
        <w:jc w:val="both"/>
        <w:rPr>
          <w:b/>
          <w:bCs/>
          <w:lang w:bidi="fa-IR"/>
        </w:rPr>
      </w:pPr>
      <w:r w:rsidRPr="00C73946">
        <w:rPr>
          <w:b/>
          <w:bCs/>
          <w:lang w:bidi="fa-IR"/>
        </w:rPr>
        <w:t>Result: 55 variants in 39 genes.</w:t>
      </w:r>
    </w:p>
    <w:p w14:paraId="55A1BF64" w14:textId="77777777" w:rsidR="00C73946" w:rsidRPr="00C73946" w:rsidRDefault="00C73946" w:rsidP="00C73946">
      <w:pPr>
        <w:spacing w:after="160" w:line="278" w:lineRule="auto"/>
        <w:jc w:val="both"/>
        <w:rPr>
          <w:b/>
          <w:bCs/>
          <w:lang w:bidi="fa-IR"/>
        </w:rPr>
      </w:pPr>
      <w:r w:rsidRPr="00C73946">
        <w:rPr>
          <w:b/>
          <w:bCs/>
          <w:lang w:bidi="fa-IR"/>
        </w:rPr>
        <w:t>Step 6 – Additional InterVar filtering</w:t>
      </w:r>
    </w:p>
    <w:p w14:paraId="39384D40" w14:textId="77777777" w:rsidR="00C73946" w:rsidRPr="004F6031" w:rsidRDefault="00C73946" w:rsidP="00C73946">
      <w:pPr>
        <w:spacing w:after="160" w:line="278" w:lineRule="auto"/>
        <w:jc w:val="both"/>
        <w:rPr>
          <w:lang w:bidi="fa-IR"/>
        </w:rPr>
      </w:pPr>
      <w:r w:rsidRPr="004F6031">
        <w:rPr>
          <w:lang w:bidi="fa-IR"/>
        </w:rPr>
        <w:t>Benign and Likely Benign variants according to InterVar were further excluded following review of the available classifications.</w:t>
      </w:r>
    </w:p>
    <w:p w14:paraId="3FF855A2" w14:textId="77777777" w:rsidR="00C73946" w:rsidRPr="00C73946" w:rsidRDefault="00C73946" w:rsidP="00C73946">
      <w:pPr>
        <w:spacing w:after="160" w:line="278" w:lineRule="auto"/>
        <w:jc w:val="both"/>
        <w:rPr>
          <w:b/>
          <w:bCs/>
          <w:lang w:bidi="fa-IR"/>
        </w:rPr>
      </w:pPr>
      <w:r w:rsidRPr="00C73946">
        <w:rPr>
          <w:b/>
          <w:bCs/>
          <w:lang w:bidi="fa-IR"/>
        </w:rPr>
        <w:t>Result: 45 variants in 37 genes.</w:t>
      </w:r>
    </w:p>
    <w:p w14:paraId="34FA0956" w14:textId="77777777" w:rsidR="00C73946" w:rsidRPr="00C73946" w:rsidRDefault="00C73946" w:rsidP="00C73946">
      <w:pPr>
        <w:spacing w:after="160" w:line="278" w:lineRule="auto"/>
        <w:jc w:val="both"/>
        <w:rPr>
          <w:b/>
          <w:bCs/>
          <w:lang w:bidi="fa-IR"/>
        </w:rPr>
      </w:pPr>
      <w:r w:rsidRPr="00C73946">
        <w:rPr>
          <w:b/>
          <w:bCs/>
          <w:lang w:bidi="fa-IR"/>
        </w:rPr>
        <w:t>Step 7 – Read-depth and allele-depth assessment</w:t>
      </w:r>
    </w:p>
    <w:p w14:paraId="7744E7C7" w14:textId="77777777" w:rsidR="00C73946" w:rsidRPr="004F6031" w:rsidRDefault="00C73946" w:rsidP="00C73946">
      <w:pPr>
        <w:spacing w:after="160" w:line="278" w:lineRule="auto"/>
        <w:jc w:val="both"/>
        <w:rPr>
          <w:lang w:bidi="fa-IR"/>
        </w:rPr>
      </w:pPr>
      <w:r w:rsidRPr="004F6031">
        <w:rPr>
          <w:lang w:bidi="fa-IR"/>
        </w:rPr>
        <w:t>Variants were further evaluated based on sequencing read support. Variants with DP &gt;20 were retained, while AD &lt;10 was considered insufficient support and triggered additional manual review rather than automatic acceptance.</w:t>
      </w:r>
    </w:p>
    <w:p w14:paraId="297CBEB2" w14:textId="77777777" w:rsidR="00C73946" w:rsidRPr="00C73946" w:rsidRDefault="00C73946" w:rsidP="00C73946">
      <w:pPr>
        <w:spacing w:after="160" w:line="278" w:lineRule="auto"/>
        <w:jc w:val="both"/>
        <w:rPr>
          <w:b/>
          <w:bCs/>
          <w:lang w:bidi="fa-IR"/>
        </w:rPr>
      </w:pPr>
      <w:r w:rsidRPr="00C73946">
        <w:rPr>
          <w:b/>
          <w:bCs/>
          <w:lang w:bidi="fa-IR"/>
        </w:rPr>
        <w:lastRenderedPageBreak/>
        <w:t>Result: 30 variants.</w:t>
      </w:r>
    </w:p>
    <w:p w14:paraId="60609437" w14:textId="7645A716" w:rsidR="00C73946" w:rsidRPr="00C73946" w:rsidRDefault="00C73946" w:rsidP="00C73946">
      <w:pPr>
        <w:spacing w:after="160" w:line="278" w:lineRule="auto"/>
        <w:jc w:val="both"/>
        <w:rPr>
          <w:b/>
          <w:bCs/>
          <w:lang w:bidi="fa-IR"/>
        </w:rPr>
      </w:pPr>
      <w:r w:rsidRPr="00C73946">
        <w:rPr>
          <w:b/>
          <w:bCs/>
          <w:lang w:bidi="fa-IR"/>
        </w:rPr>
        <w:t xml:space="preserve">Step </w:t>
      </w:r>
      <w:r>
        <w:rPr>
          <w:rFonts w:hint="cs"/>
          <w:b/>
          <w:bCs/>
          <w:rtl/>
          <w:lang w:bidi="fa-IR"/>
        </w:rPr>
        <w:t>8</w:t>
      </w:r>
      <w:r w:rsidRPr="00C73946">
        <w:rPr>
          <w:b/>
          <w:bCs/>
          <w:lang w:bidi="fa-IR"/>
        </w:rPr>
        <w:t xml:space="preserve"> – Chromosome X assessment</w:t>
      </w:r>
    </w:p>
    <w:p w14:paraId="7422E27C" w14:textId="77777777" w:rsidR="00C73946" w:rsidRPr="004F6031" w:rsidRDefault="00C73946" w:rsidP="00C73946">
      <w:pPr>
        <w:spacing w:after="160" w:line="278" w:lineRule="auto"/>
        <w:jc w:val="both"/>
        <w:rPr>
          <w:lang w:bidi="fa-IR"/>
        </w:rPr>
      </w:pPr>
      <w:r w:rsidRPr="004F6031">
        <w:rPr>
          <w:lang w:bidi="fa-IR"/>
        </w:rPr>
        <w:t>Because the pedigree was most consistent with an autosomal recessive disorder and both affected individuals were of different sexes, X-linked inheritance was considered less compatible with the observed pattern. X-chromosome variants were therefore excluded from the primary autosomal-recessive analysis. However, X-linked variants were subsequently reviewed separately for inheritance and phenotype compatibility; no strong phenotype-compatible candidate was identified. These variants were retained for reference in the Main Sheet 2 – X.</w:t>
      </w:r>
    </w:p>
    <w:p w14:paraId="7957AD73" w14:textId="2E7A24D9" w:rsidR="00C73946" w:rsidRPr="00C73946" w:rsidRDefault="00C73946" w:rsidP="00C73946">
      <w:pPr>
        <w:spacing w:after="160" w:line="278" w:lineRule="auto"/>
        <w:jc w:val="both"/>
        <w:rPr>
          <w:b/>
          <w:bCs/>
          <w:lang w:bidi="fa-IR"/>
        </w:rPr>
      </w:pPr>
      <w:r w:rsidRPr="00C73946">
        <w:rPr>
          <w:b/>
          <w:bCs/>
          <w:lang w:bidi="fa-IR"/>
        </w:rPr>
        <w:t xml:space="preserve">Step </w:t>
      </w:r>
      <w:r>
        <w:rPr>
          <w:rFonts w:hint="cs"/>
          <w:b/>
          <w:bCs/>
          <w:rtl/>
          <w:lang w:bidi="fa-IR"/>
        </w:rPr>
        <w:t>9</w:t>
      </w:r>
      <w:r w:rsidRPr="00C73946">
        <w:rPr>
          <w:b/>
          <w:bCs/>
          <w:lang w:bidi="fa-IR"/>
        </w:rPr>
        <w:t xml:space="preserve"> – Additional population-frequency assessment</w:t>
      </w:r>
    </w:p>
    <w:p w14:paraId="33A5FF1A" w14:textId="77777777" w:rsidR="00C73946" w:rsidRPr="004F6031" w:rsidRDefault="00C73946" w:rsidP="00C73946">
      <w:pPr>
        <w:spacing w:after="160" w:line="278" w:lineRule="auto"/>
        <w:jc w:val="both"/>
        <w:rPr>
          <w:lang w:bidi="fa-IR"/>
        </w:rPr>
      </w:pPr>
      <w:r w:rsidRPr="004F6031">
        <w:rPr>
          <w:lang w:bidi="fa-IR"/>
        </w:rPr>
        <w:t>Variants with a population frequency &gt;1% were subjected to additional manual review. Given the rarity of the suspected disorder, such frequencies were considered relatively high and were evaluated with respect to both genotype and phenotype before exclusion.</w:t>
      </w:r>
    </w:p>
    <w:p w14:paraId="023858B3" w14:textId="77777777" w:rsidR="00C73946" w:rsidRPr="00C73946" w:rsidRDefault="00C73946" w:rsidP="00C73946">
      <w:pPr>
        <w:spacing w:after="160" w:line="278" w:lineRule="auto"/>
        <w:jc w:val="both"/>
        <w:rPr>
          <w:b/>
          <w:bCs/>
          <w:lang w:bidi="fa-IR"/>
        </w:rPr>
      </w:pPr>
      <w:r w:rsidRPr="00C73946">
        <w:rPr>
          <w:b/>
          <w:bCs/>
          <w:lang w:bidi="fa-IR"/>
        </w:rPr>
        <w:t>Result: 13 variants remained.</w:t>
      </w:r>
    </w:p>
    <w:p w14:paraId="46AF6CBF" w14:textId="3C0794E8" w:rsidR="00C73946" w:rsidRPr="00C73946" w:rsidRDefault="00C73946" w:rsidP="00C73946">
      <w:pPr>
        <w:spacing w:after="160" w:line="278" w:lineRule="auto"/>
        <w:jc w:val="both"/>
        <w:rPr>
          <w:b/>
          <w:bCs/>
          <w:lang w:bidi="fa-IR"/>
        </w:rPr>
      </w:pPr>
      <w:r w:rsidRPr="00C73946">
        <w:rPr>
          <w:b/>
          <w:bCs/>
          <w:lang w:bidi="fa-IR"/>
        </w:rPr>
        <w:t xml:space="preserve">Step </w:t>
      </w:r>
      <w:r>
        <w:rPr>
          <w:rFonts w:hint="cs"/>
          <w:b/>
          <w:bCs/>
          <w:rtl/>
          <w:lang w:bidi="fa-IR"/>
        </w:rPr>
        <w:t>10</w:t>
      </w:r>
      <w:r w:rsidRPr="00C73946">
        <w:rPr>
          <w:b/>
          <w:bCs/>
          <w:lang w:bidi="fa-IR"/>
        </w:rPr>
        <w:t xml:space="preserve"> – Variant-level database assessment</w:t>
      </w:r>
    </w:p>
    <w:p w14:paraId="52EBAB30" w14:textId="77777777" w:rsidR="00C73946" w:rsidRPr="004F6031" w:rsidRDefault="00C73946" w:rsidP="00C73946">
      <w:pPr>
        <w:spacing w:after="160" w:line="278" w:lineRule="auto"/>
        <w:jc w:val="both"/>
        <w:rPr>
          <w:lang w:bidi="fa-IR"/>
        </w:rPr>
      </w:pPr>
      <w:r w:rsidRPr="004F6031">
        <w:rPr>
          <w:lang w:bidi="fa-IR"/>
        </w:rPr>
        <w:t>The remaining 13 variants were individually investigated using multiple genomic and clinical databases to assess their genotypic evidence, population frequency, clinical classification, computational predictions, gene–disease relationships, and available literature.</w:t>
      </w:r>
    </w:p>
    <w:p w14:paraId="36132C13" w14:textId="2FFB341D" w:rsidR="00C73946" w:rsidRPr="00C73946" w:rsidRDefault="00C73946" w:rsidP="00C73946">
      <w:pPr>
        <w:spacing w:after="160" w:line="278" w:lineRule="auto"/>
        <w:jc w:val="both"/>
        <w:rPr>
          <w:b/>
          <w:bCs/>
          <w:lang w:bidi="fa-IR"/>
        </w:rPr>
      </w:pPr>
      <w:r w:rsidRPr="00C73946">
        <w:rPr>
          <w:b/>
          <w:bCs/>
          <w:lang w:bidi="fa-IR"/>
        </w:rPr>
        <w:t>Step 1</w:t>
      </w:r>
      <w:r>
        <w:rPr>
          <w:rFonts w:hint="cs"/>
          <w:b/>
          <w:bCs/>
          <w:rtl/>
          <w:lang w:bidi="fa-IR"/>
        </w:rPr>
        <w:t>1</w:t>
      </w:r>
      <w:r w:rsidRPr="00C73946">
        <w:rPr>
          <w:b/>
          <w:bCs/>
          <w:lang w:bidi="fa-IR"/>
        </w:rPr>
        <w:t xml:space="preserve"> – Phenotypic assessment of candidate variants</w:t>
      </w:r>
    </w:p>
    <w:p w14:paraId="188EB45D" w14:textId="4F815D78" w:rsidR="00C73946" w:rsidRPr="004F6031" w:rsidRDefault="00C73946" w:rsidP="00C73946">
      <w:pPr>
        <w:spacing w:after="160" w:line="278" w:lineRule="auto"/>
        <w:jc w:val="both"/>
        <w:rPr>
          <w:lang w:bidi="fa-IR"/>
        </w:rPr>
      </w:pPr>
      <w:r w:rsidRPr="004F6031">
        <w:rPr>
          <w:lang w:bidi="fa-IR"/>
        </w:rPr>
        <w:t>Each remaining variant was evaluated against the patient's phenotype and the reported phenotype of the corresponding gene–disease association. Particular attention was given to whether the variant could explain all or part of the observed phenotype, rather than requiring a single variant to account for the entire clinical presentation</w:t>
      </w:r>
      <w:r w:rsidR="004F6031" w:rsidRPr="004F6031">
        <w:rPr>
          <w:lang w:bidi="fa-IR"/>
        </w:rPr>
        <w:t xml:space="preserve"> (Table 1).</w:t>
      </w:r>
    </w:p>
    <w:p w14:paraId="2C95B412" w14:textId="77777777" w:rsidR="00E30DC5" w:rsidRDefault="00E30DC5" w:rsidP="00396ADF">
      <w:pPr>
        <w:spacing w:after="160" w:line="278" w:lineRule="auto"/>
        <w:jc w:val="both"/>
        <w:rPr>
          <w:lang w:bidi="fa-IR"/>
        </w:rPr>
      </w:pPr>
    </w:p>
    <w:p w14:paraId="0FA7658E" w14:textId="77777777" w:rsidR="00E30DC5" w:rsidRDefault="00E30DC5" w:rsidP="004F6031">
      <w:pPr>
        <w:pStyle w:val="ListParagraph"/>
        <w:rPr>
          <w:lang w:bidi="fa-IR"/>
        </w:rPr>
      </w:pPr>
    </w:p>
    <w:p w14:paraId="3D552BBA" w14:textId="77777777" w:rsidR="00E30DC5" w:rsidRDefault="00E30DC5" w:rsidP="004F6031">
      <w:pPr>
        <w:pStyle w:val="ListParagraph"/>
        <w:rPr>
          <w:lang w:bidi="fa-IR"/>
        </w:rPr>
      </w:pPr>
    </w:p>
    <w:p w14:paraId="1F5AE415" w14:textId="77777777" w:rsidR="00E30DC5" w:rsidRDefault="00E30DC5" w:rsidP="004F6031">
      <w:pPr>
        <w:pStyle w:val="ListParagraph"/>
        <w:rPr>
          <w:lang w:bidi="fa-IR"/>
        </w:rPr>
      </w:pPr>
    </w:p>
    <w:p w14:paraId="1F71AE35" w14:textId="77777777" w:rsidR="00E30DC5" w:rsidRDefault="00E30DC5" w:rsidP="004F6031">
      <w:pPr>
        <w:pStyle w:val="ListParagraph"/>
        <w:rPr>
          <w:lang w:bidi="fa-IR"/>
        </w:rPr>
      </w:pPr>
    </w:p>
    <w:p w14:paraId="726481D8" w14:textId="77777777" w:rsidR="00E30DC5" w:rsidRDefault="00E30DC5" w:rsidP="004F6031">
      <w:pPr>
        <w:pStyle w:val="ListParagraph"/>
        <w:rPr>
          <w:lang w:bidi="fa-IR"/>
        </w:rPr>
      </w:pPr>
    </w:p>
    <w:p w14:paraId="771B657E" w14:textId="77777777" w:rsidR="00E30DC5" w:rsidRDefault="00E30DC5" w:rsidP="004F6031">
      <w:pPr>
        <w:pStyle w:val="ListParagraph"/>
        <w:rPr>
          <w:lang w:bidi="fa-IR"/>
        </w:rPr>
      </w:pPr>
    </w:p>
    <w:p w14:paraId="4643E067" w14:textId="77777777" w:rsidR="00E30DC5" w:rsidRDefault="00E30DC5" w:rsidP="004F6031">
      <w:pPr>
        <w:pStyle w:val="ListParagraph"/>
        <w:rPr>
          <w:lang w:bidi="fa-IR"/>
        </w:rPr>
      </w:pPr>
    </w:p>
    <w:p w14:paraId="0F961260" w14:textId="77777777" w:rsidR="00E30DC5" w:rsidRDefault="00E30DC5" w:rsidP="004F6031">
      <w:pPr>
        <w:pStyle w:val="ListParagraph"/>
        <w:rPr>
          <w:lang w:bidi="fa-IR"/>
        </w:rPr>
      </w:pPr>
    </w:p>
    <w:p w14:paraId="6FFA26DD" w14:textId="77777777" w:rsidR="00E30DC5" w:rsidRDefault="00E30DC5" w:rsidP="004F6031">
      <w:pPr>
        <w:pStyle w:val="ListParagraph"/>
        <w:rPr>
          <w:lang w:bidi="fa-IR"/>
        </w:rPr>
      </w:pPr>
    </w:p>
    <w:p w14:paraId="4565D931" w14:textId="77777777" w:rsidR="00E30DC5" w:rsidRPr="003E6F75" w:rsidRDefault="00E30DC5" w:rsidP="004F6031">
      <w:pPr>
        <w:pStyle w:val="ListParagraph"/>
        <w:rPr>
          <w:lang w:bidi="fa-IR"/>
        </w:rPr>
      </w:pPr>
    </w:p>
    <w:p w14:paraId="15630521" w14:textId="77777777" w:rsidR="004F6031" w:rsidRDefault="004F6031" w:rsidP="004F6031">
      <w:pPr>
        <w:pStyle w:val="ListParagraph"/>
      </w:pPr>
    </w:p>
    <w:p w14:paraId="7A38AAFC" w14:textId="77777777" w:rsidR="004F6031" w:rsidRDefault="004F6031" w:rsidP="004F6031">
      <w:pPr>
        <w:pStyle w:val="ListParagraph"/>
      </w:pPr>
    </w:p>
    <w:p w14:paraId="263E7780" w14:textId="77777777" w:rsidR="004F6031" w:rsidRDefault="004F6031" w:rsidP="004F6031">
      <w:pPr>
        <w:pStyle w:val="ListParagraph"/>
      </w:pPr>
    </w:p>
    <w:p w14:paraId="22B6CA98" w14:textId="77777777" w:rsidR="004F6031" w:rsidRDefault="004F6031" w:rsidP="004F6031">
      <w:pPr>
        <w:pStyle w:val="ListParagraph"/>
      </w:pPr>
    </w:p>
    <w:p w14:paraId="7DAE2AE6" w14:textId="77777777" w:rsidR="004F6031" w:rsidRDefault="004F6031" w:rsidP="004F6031">
      <w:pPr>
        <w:pStyle w:val="ListParagraph"/>
      </w:pPr>
    </w:p>
    <w:p w14:paraId="1D0FF90A" w14:textId="77777777" w:rsidR="004F6031" w:rsidRDefault="004F6031" w:rsidP="004F6031">
      <w:pPr>
        <w:pStyle w:val="ListParagraph"/>
      </w:pPr>
    </w:p>
    <w:p w14:paraId="7197C466" w14:textId="77777777" w:rsidR="004F6031" w:rsidRDefault="004F6031" w:rsidP="004F6031">
      <w:pPr>
        <w:pStyle w:val="ListParagraph"/>
      </w:pPr>
    </w:p>
    <w:p w14:paraId="1A9AF225" w14:textId="77777777" w:rsidR="004F6031" w:rsidRDefault="004F6031" w:rsidP="004F6031">
      <w:pPr>
        <w:pStyle w:val="ListParagraph"/>
      </w:pPr>
    </w:p>
    <w:p w14:paraId="7C53B12B" w14:textId="77777777" w:rsidR="004F6031" w:rsidRDefault="004F6031" w:rsidP="004F6031">
      <w:pPr>
        <w:pStyle w:val="ListParagraph"/>
      </w:pPr>
    </w:p>
    <w:p w14:paraId="4AF24FFD" w14:textId="77777777" w:rsidR="004F6031" w:rsidRDefault="004F6031" w:rsidP="004F6031">
      <w:pPr>
        <w:pStyle w:val="ListParagraph"/>
      </w:pPr>
    </w:p>
    <w:p w14:paraId="31646A4A" w14:textId="77777777" w:rsidR="00D944A8" w:rsidRDefault="00D944A8" w:rsidP="004F6031">
      <w:pPr>
        <w:pStyle w:val="ListParagraph"/>
      </w:pPr>
    </w:p>
    <w:p w14:paraId="7E29F0AE" w14:textId="77777777" w:rsidR="00D944A8" w:rsidRDefault="00D944A8" w:rsidP="004F6031">
      <w:pPr>
        <w:pStyle w:val="ListParagraph"/>
      </w:pPr>
    </w:p>
    <w:p w14:paraId="19ECA228" w14:textId="7A5BAF74" w:rsidR="00BA79A9" w:rsidRDefault="00BA79A9" w:rsidP="004D2B2C">
      <w:pPr>
        <w:pStyle w:val="Heading1"/>
        <w:rPr>
          <w:rtl/>
        </w:rPr>
      </w:pPr>
      <w:r>
        <w:t>Results</w:t>
      </w:r>
      <w:r w:rsidR="00AE57E1">
        <w:t>:</w:t>
      </w:r>
    </w:p>
    <w:p w14:paraId="74188144" w14:textId="77777777" w:rsidR="004D2B2C" w:rsidRDefault="004D2B2C" w:rsidP="004D2B2C">
      <w:pPr>
        <w:pStyle w:val="ListParagraph"/>
      </w:pPr>
    </w:p>
    <w:p w14:paraId="16A9F200" w14:textId="75902E7E" w:rsidR="00955737" w:rsidRDefault="00BA79A9" w:rsidP="00BA79A9">
      <w:pPr>
        <w:pStyle w:val="ListParagraph"/>
      </w:pPr>
      <w:r>
        <w:t>Table1: V</w:t>
      </w:r>
      <w:r w:rsidR="00000000">
        <w:t xml:space="preserve">ariant Prioritization </w:t>
      </w:r>
    </w:p>
    <w:p w14:paraId="10B5A0C7" w14:textId="77777777" w:rsidR="00955737" w:rsidRDefault="00955737"/>
    <w:tbl>
      <w:tblPr>
        <w:tblW w:w="14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
        <w:gridCol w:w="2350"/>
        <w:gridCol w:w="1403"/>
        <w:gridCol w:w="1350"/>
        <w:gridCol w:w="1227"/>
        <w:gridCol w:w="815"/>
        <w:gridCol w:w="3588"/>
        <w:gridCol w:w="3184"/>
      </w:tblGrid>
      <w:tr w:rsidR="00396ADF" w14:paraId="62833D41" w14:textId="77777777" w:rsidTr="00396ADF">
        <w:trPr>
          <w:trHeight w:val="454"/>
          <w:tblHeader/>
        </w:trPr>
        <w:tc>
          <w:tcPr>
            <w:tcW w:w="973" w:type="dxa"/>
            <w:shd w:val="clear" w:color="auto" w:fill="D9E2F3"/>
            <w:vAlign w:val="center"/>
          </w:tcPr>
          <w:p w14:paraId="22E59D4E" w14:textId="77777777" w:rsidR="00396ADF" w:rsidRPr="003E48F1" w:rsidRDefault="00396ADF" w:rsidP="003E48F1">
            <w:pPr>
              <w:jc w:val="center"/>
              <w:rPr>
                <w:sz w:val="14"/>
                <w:szCs w:val="14"/>
              </w:rPr>
            </w:pPr>
            <w:r w:rsidRPr="003E48F1">
              <w:rPr>
                <w:b/>
                <w:bCs/>
                <w:sz w:val="14"/>
                <w:szCs w:val="14"/>
              </w:rPr>
              <w:t>Gene</w:t>
            </w:r>
          </w:p>
        </w:tc>
        <w:tc>
          <w:tcPr>
            <w:tcW w:w="2350" w:type="dxa"/>
            <w:shd w:val="clear" w:color="auto" w:fill="D9E2F3"/>
            <w:vAlign w:val="center"/>
          </w:tcPr>
          <w:p w14:paraId="5DD076DA" w14:textId="77777777" w:rsidR="00396ADF" w:rsidRPr="003E48F1" w:rsidRDefault="00396ADF" w:rsidP="003E48F1">
            <w:pPr>
              <w:jc w:val="center"/>
              <w:rPr>
                <w:sz w:val="14"/>
                <w:szCs w:val="14"/>
              </w:rPr>
            </w:pPr>
            <w:r w:rsidRPr="003E48F1">
              <w:rPr>
                <w:b/>
                <w:bCs/>
                <w:sz w:val="14"/>
                <w:szCs w:val="14"/>
              </w:rPr>
              <w:t>Variant / Zygosity / Type</w:t>
            </w:r>
          </w:p>
        </w:tc>
        <w:tc>
          <w:tcPr>
            <w:tcW w:w="1403" w:type="dxa"/>
            <w:shd w:val="clear" w:color="auto" w:fill="D9E2F3"/>
            <w:vAlign w:val="center"/>
          </w:tcPr>
          <w:p w14:paraId="216C67E8" w14:textId="1142F308" w:rsidR="00396ADF" w:rsidRPr="003E48F1" w:rsidRDefault="00396ADF" w:rsidP="003E48F1">
            <w:pPr>
              <w:jc w:val="center"/>
              <w:rPr>
                <w:sz w:val="14"/>
                <w:szCs w:val="14"/>
              </w:rPr>
            </w:pPr>
            <w:r w:rsidRPr="003E48F1">
              <w:rPr>
                <w:b/>
                <w:bCs/>
                <w:sz w:val="14"/>
                <w:szCs w:val="14"/>
              </w:rPr>
              <w:t>In silico (SIFT/PolyPhen)</w:t>
            </w:r>
          </w:p>
        </w:tc>
        <w:tc>
          <w:tcPr>
            <w:tcW w:w="1350" w:type="dxa"/>
            <w:shd w:val="clear" w:color="auto" w:fill="D9E2F3"/>
            <w:vAlign w:val="center"/>
          </w:tcPr>
          <w:p w14:paraId="56DAF989" w14:textId="77777777" w:rsidR="00396ADF" w:rsidRPr="003E48F1" w:rsidRDefault="00396ADF" w:rsidP="003E48F1">
            <w:pPr>
              <w:jc w:val="center"/>
              <w:rPr>
                <w:sz w:val="14"/>
                <w:szCs w:val="14"/>
              </w:rPr>
            </w:pPr>
            <w:r w:rsidRPr="003E48F1">
              <w:rPr>
                <w:b/>
                <w:bCs/>
                <w:sz w:val="14"/>
                <w:szCs w:val="14"/>
              </w:rPr>
              <w:t>Pop. AF (ExAC/gnomAD)</w:t>
            </w:r>
          </w:p>
        </w:tc>
        <w:tc>
          <w:tcPr>
            <w:tcW w:w="1227" w:type="dxa"/>
            <w:shd w:val="clear" w:color="auto" w:fill="D9E2F3"/>
            <w:vAlign w:val="center"/>
          </w:tcPr>
          <w:p w14:paraId="29A3D6D6" w14:textId="77777777" w:rsidR="00396ADF" w:rsidRPr="003E48F1" w:rsidRDefault="00396ADF" w:rsidP="003E48F1">
            <w:pPr>
              <w:jc w:val="center"/>
              <w:rPr>
                <w:sz w:val="14"/>
                <w:szCs w:val="14"/>
              </w:rPr>
            </w:pPr>
            <w:r w:rsidRPr="003E48F1">
              <w:rPr>
                <w:b/>
                <w:bCs/>
                <w:sz w:val="14"/>
                <w:szCs w:val="14"/>
              </w:rPr>
              <w:t>ClinVar/ACMG</w:t>
            </w:r>
          </w:p>
        </w:tc>
        <w:tc>
          <w:tcPr>
            <w:tcW w:w="815" w:type="dxa"/>
            <w:shd w:val="clear" w:color="auto" w:fill="D9E2F3"/>
            <w:vAlign w:val="center"/>
          </w:tcPr>
          <w:p w14:paraId="7F612229" w14:textId="32DC0F86" w:rsidR="00396ADF" w:rsidRPr="003E48F1" w:rsidRDefault="00396ADF" w:rsidP="003E48F1">
            <w:pPr>
              <w:jc w:val="center"/>
              <w:rPr>
                <w:b/>
                <w:bCs/>
                <w:sz w:val="14"/>
                <w:szCs w:val="14"/>
              </w:rPr>
            </w:pPr>
            <w:r w:rsidRPr="003E48F1">
              <w:rPr>
                <w:b/>
                <w:bCs/>
                <w:sz w:val="14"/>
                <w:szCs w:val="14"/>
              </w:rPr>
              <w:t>Inheritance</w:t>
            </w:r>
          </w:p>
        </w:tc>
        <w:tc>
          <w:tcPr>
            <w:tcW w:w="3588" w:type="dxa"/>
            <w:shd w:val="clear" w:color="auto" w:fill="D9E2F3"/>
            <w:vAlign w:val="center"/>
          </w:tcPr>
          <w:p w14:paraId="0D758FF6" w14:textId="7691C702" w:rsidR="00396ADF" w:rsidRPr="003E48F1" w:rsidRDefault="00396ADF" w:rsidP="003E48F1">
            <w:pPr>
              <w:jc w:val="center"/>
              <w:rPr>
                <w:sz w:val="14"/>
                <w:szCs w:val="14"/>
              </w:rPr>
            </w:pPr>
            <w:r w:rsidRPr="003E48F1">
              <w:rPr>
                <w:b/>
                <w:bCs/>
                <w:sz w:val="14"/>
                <w:szCs w:val="14"/>
              </w:rPr>
              <w:t>Gene–disease, phenotype &amp; notes</w:t>
            </w:r>
          </w:p>
        </w:tc>
        <w:tc>
          <w:tcPr>
            <w:tcW w:w="3184" w:type="dxa"/>
            <w:shd w:val="clear" w:color="auto" w:fill="D9E2F3"/>
            <w:vAlign w:val="center"/>
          </w:tcPr>
          <w:p w14:paraId="72207707" w14:textId="77777777" w:rsidR="00396ADF" w:rsidRPr="003E48F1" w:rsidRDefault="00396ADF" w:rsidP="003E48F1">
            <w:pPr>
              <w:jc w:val="center"/>
              <w:rPr>
                <w:sz w:val="14"/>
                <w:szCs w:val="14"/>
              </w:rPr>
            </w:pPr>
            <w:r w:rsidRPr="003E48F1">
              <w:rPr>
                <w:b/>
                <w:bCs/>
                <w:sz w:val="14"/>
                <w:szCs w:val="14"/>
              </w:rPr>
              <w:t>Final decision &amp; reason</w:t>
            </w:r>
          </w:p>
        </w:tc>
      </w:tr>
      <w:tr w:rsidR="00396ADF" w14:paraId="60E0D49C" w14:textId="77777777" w:rsidTr="00396ADF">
        <w:trPr>
          <w:trHeight w:val="439"/>
        </w:trPr>
        <w:tc>
          <w:tcPr>
            <w:tcW w:w="973" w:type="dxa"/>
            <w:vAlign w:val="center"/>
          </w:tcPr>
          <w:p w14:paraId="5FD1CE3D" w14:textId="77777777" w:rsidR="00396ADF" w:rsidRPr="004F6031" w:rsidRDefault="00396ADF" w:rsidP="003E48F1">
            <w:pPr>
              <w:jc w:val="center"/>
              <w:rPr>
                <w:i/>
                <w:iCs/>
              </w:rPr>
            </w:pPr>
            <w:r w:rsidRPr="004F6031">
              <w:rPr>
                <w:i/>
                <w:iCs/>
                <w:sz w:val="15"/>
                <w:szCs w:val="15"/>
              </w:rPr>
              <w:t>POGK</w:t>
            </w:r>
          </w:p>
        </w:tc>
        <w:tc>
          <w:tcPr>
            <w:tcW w:w="2350" w:type="dxa"/>
            <w:vAlign w:val="center"/>
          </w:tcPr>
          <w:p w14:paraId="0EE1DC05" w14:textId="77777777" w:rsidR="00396ADF" w:rsidRDefault="00396ADF" w:rsidP="003E48F1">
            <w:pPr>
              <w:jc w:val="center"/>
            </w:pPr>
            <w:r>
              <w:rPr>
                <w:sz w:val="15"/>
                <w:szCs w:val="15"/>
              </w:rPr>
              <w:t>c.494G&gt;C (p.S165T)</w:t>
            </w:r>
          </w:p>
          <w:p w14:paraId="09C267D6" w14:textId="77777777" w:rsidR="00396ADF" w:rsidRDefault="00396ADF" w:rsidP="003E48F1">
            <w:pPr>
              <w:jc w:val="center"/>
            </w:pPr>
            <w:r>
              <w:rPr>
                <w:sz w:val="15"/>
                <w:szCs w:val="15"/>
              </w:rPr>
              <w:t>Homozygous — Nonsyn. SNV</w:t>
            </w:r>
          </w:p>
        </w:tc>
        <w:tc>
          <w:tcPr>
            <w:tcW w:w="1403" w:type="dxa"/>
            <w:vAlign w:val="center"/>
          </w:tcPr>
          <w:p w14:paraId="0216432E" w14:textId="4AE45080" w:rsidR="00396ADF" w:rsidRDefault="00396ADF" w:rsidP="003E48F1">
            <w:pPr>
              <w:jc w:val="center"/>
            </w:pPr>
            <w:r>
              <w:rPr>
                <w:sz w:val="15"/>
                <w:szCs w:val="15"/>
              </w:rPr>
              <w:t>T (0.789) / B (0.001)</w:t>
            </w:r>
          </w:p>
        </w:tc>
        <w:tc>
          <w:tcPr>
            <w:tcW w:w="1350" w:type="dxa"/>
            <w:vAlign w:val="center"/>
          </w:tcPr>
          <w:p w14:paraId="2B1BE54C" w14:textId="77777777" w:rsidR="00396ADF" w:rsidRDefault="00396ADF" w:rsidP="003E48F1">
            <w:pPr>
              <w:jc w:val="center"/>
            </w:pPr>
            <w:r>
              <w:rPr>
                <w:sz w:val="15"/>
                <w:szCs w:val="15"/>
              </w:rPr>
              <w:t>~0.0023 / 0.0021</w:t>
            </w:r>
          </w:p>
        </w:tc>
        <w:tc>
          <w:tcPr>
            <w:tcW w:w="1227" w:type="dxa"/>
            <w:vAlign w:val="center"/>
          </w:tcPr>
          <w:p w14:paraId="6838672E" w14:textId="77777777" w:rsidR="00396ADF" w:rsidRDefault="00396ADF" w:rsidP="003E48F1">
            <w:pPr>
              <w:jc w:val="center"/>
            </w:pPr>
            <w:r>
              <w:rPr>
                <w:sz w:val="15"/>
                <w:szCs w:val="15"/>
              </w:rPr>
              <w:t>VUS</w:t>
            </w:r>
          </w:p>
        </w:tc>
        <w:tc>
          <w:tcPr>
            <w:tcW w:w="815" w:type="dxa"/>
            <w:vAlign w:val="center"/>
          </w:tcPr>
          <w:p w14:paraId="5D964E36" w14:textId="3F4C4439" w:rsidR="00396ADF" w:rsidRDefault="00396ADF" w:rsidP="003E48F1">
            <w:pPr>
              <w:jc w:val="center"/>
              <w:rPr>
                <w:sz w:val="15"/>
                <w:szCs w:val="15"/>
              </w:rPr>
            </w:pPr>
            <w:r>
              <w:rPr>
                <w:sz w:val="15"/>
                <w:szCs w:val="15"/>
              </w:rPr>
              <w:t>—</w:t>
            </w:r>
          </w:p>
        </w:tc>
        <w:tc>
          <w:tcPr>
            <w:tcW w:w="3588" w:type="dxa"/>
            <w:vAlign w:val="center"/>
          </w:tcPr>
          <w:p w14:paraId="56DB46FF" w14:textId="18FDFF2D" w:rsidR="00396ADF" w:rsidRDefault="00396ADF" w:rsidP="003E48F1">
            <w:pPr>
              <w:jc w:val="center"/>
            </w:pPr>
            <w:r>
              <w:rPr>
                <w:sz w:val="15"/>
                <w:szCs w:val="15"/>
              </w:rPr>
              <w:t>No established OMIM disease association</w:t>
            </w:r>
          </w:p>
        </w:tc>
        <w:tc>
          <w:tcPr>
            <w:tcW w:w="3184" w:type="dxa"/>
            <w:vAlign w:val="center"/>
          </w:tcPr>
          <w:p w14:paraId="353F8512" w14:textId="77777777" w:rsidR="00396ADF" w:rsidRDefault="00396ADF" w:rsidP="003E48F1">
            <w:pPr>
              <w:jc w:val="center"/>
            </w:pPr>
            <w:r>
              <w:rPr>
                <w:sz w:val="15"/>
                <w:szCs w:val="15"/>
              </w:rPr>
              <w:t>Deprioritize — tolerated + benign + not ultra-rare</w:t>
            </w:r>
          </w:p>
        </w:tc>
      </w:tr>
      <w:tr w:rsidR="00396ADF" w14:paraId="40D2916B" w14:textId="77777777" w:rsidTr="00396ADF">
        <w:trPr>
          <w:trHeight w:val="454"/>
        </w:trPr>
        <w:tc>
          <w:tcPr>
            <w:tcW w:w="973" w:type="dxa"/>
            <w:vAlign w:val="center"/>
          </w:tcPr>
          <w:p w14:paraId="2C49530B" w14:textId="77777777" w:rsidR="00396ADF" w:rsidRPr="004F6031" w:rsidRDefault="00396ADF" w:rsidP="003E48F1">
            <w:pPr>
              <w:jc w:val="center"/>
              <w:rPr>
                <w:i/>
                <w:iCs/>
              </w:rPr>
            </w:pPr>
            <w:r w:rsidRPr="004F6031">
              <w:rPr>
                <w:i/>
                <w:iCs/>
                <w:sz w:val="15"/>
                <w:szCs w:val="15"/>
              </w:rPr>
              <w:t>CRTC2</w:t>
            </w:r>
          </w:p>
        </w:tc>
        <w:tc>
          <w:tcPr>
            <w:tcW w:w="2350" w:type="dxa"/>
            <w:vAlign w:val="center"/>
          </w:tcPr>
          <w:p w14:paraId="140395D4" w14:textId="77777777" w:rsidR="00396ADF" w:rsidRDefault="00396ADF" w:rsidP="003E48F1">
            <w:pPr>
              <w:jc w:val="center"/>
            </w:pPr>
            <w:r>
              <w:rPr>
                <w:sz w:val="15"/>
                <w:szCs w:val="15"/>
              </w:rPr>
              <w:t>c.G1286A (p.R429H)</w:t>
            </w:r>
          </w:p>
          <w:p w14:paraId="6897AEC5" w14:textId="77777777" w:rsidR="00396ADF" w:rsidRDefault="00396ADF" w:rsidP="003E48F1">
            <w:pPr>
              <w:jc w:val="center"/>
            </w:pPr>
            <w:r>
              <w:rPr>
                <w:sz w:val="15"/>
                <w:szCs w:val="15"/>
              </w:rPr>
              <w:t>Homozygous — Nonsyn. SNV</w:t>
            </w:r>
          </w:p>
        </w:tc>
        <w:tc>
          <w:tcPr>
            <w:tcW w:w="1403" w:type="dxa"/>
            <w:vAlign w:val="center"/>
          </w:tcPr>
          <w:p w14:paraId="1E18A3B8" w14:textId="44EBE002" w:rsidR="00396ADF" w:rsidRDefault="00396ADF" w:rsidP="003E48F1">
            <w:pPr>
              <w:jc w:val="center"/>
            </w:pPr>
            <w:r>
              <w:rPr>
                <w:sz w:val="15"/>
                <w:szCs w:val="15"/>
              </w:rPr>
              <w:t>T (0.196) / B (0.002)</w:t>
            </w:r>
          </w:p>
        </w:tc>
        <w:tc>
          <w:tcPr>
            <w:tcW w:w="1350" w:type="dxa"/>
            <w:vAlign w:val="center"/>
          </w:tcPr>
          <w:p w14:paraId="324D8FC1" w14:textId="77777777" w:rsidR="00396ADF" w:rsidRDefault="00396ADF" w:rsidP="003E48F1">
            <w:pPr>
              <w:jc w:val="center"/>
            </w:pPr>
            <w:r>
              <w:rPr>
                <w:sz w:val="15"/>
                <w:szCs w:val="15"/>
              </w:rPr>
              <w:t>~0.0002 / 8.45E-05</w:t>
            </w:r>
          </w:p>
        </w:tc>
        <w:tc>
          <w:tcPr>
            <w:tcW w:w="1227" w:type="dxa"/>
            <w:vAlign w:val="center"/>
          </w:tcPr>
          <w:p w14:paraId="6490A4A5" w14:textId="77777777" w:rsidR="00396ADF" w:rsidRDefault="00396ADF" w:rsidP="003E48F1">
            <w:pPr>
              <w:jc w:val="center"/>
            </w:pPr>
            <w:r>
              <w:rPr>
                <w:sz w:val="15"/>
                <w:szCs w:val="15"/>
              </w:rPr>
              <w:t>VUS</w:t>
            </w:r>
          </w:p>
        </w:tc>
        <w:tc>
          <w:tcPr>
            <w:tcW w:w="815" w:type="dxa"/>
            <w:vAlign w:val="center"/>
          </w:tcPr>
          <w:p w14:paraId="3294BF9E" w14:textId="6BE20F8D" w:rsidR="00396ADF" w:rsidRDefault="00396ADF" w:rsidP="003E48F1">
            <w:pPr>
              <w:jc w:val="center"/>
              <w:rPr>
                <w:sz w:val="15"/>
                <w:szCs w:val="15"/>
              </w:rPr>
            </w:pPr>
            <w:r>
              <w:rPr>
                <w:sz w:val="15"/>
                <w:szCs w:val="15"/>
              </w:rPr>
              <w:t>—</w:t>
            </w:r>
          </w:p>
        </w:tc>
        <w:tc>
          <w:tcPr>
            <w:tcW w:w="3588" w:type="dxa"/>
            <w:vAlign w:val="center"/>
          </w:tcPr>
          <w:p w14:paraId="1C093D5D" w14:textId="3925DAA9" w:rsidR="00396ADF" w:rsidRDefault="00396ADF" w:rsidP="003E48F1">
            <w:pPr>
              <w:jc w:val="center"/>
            </w:pPr>
            <w:r>
              <w:rPr>
                <w:sz w:val="15"/>
                <w:szCs w:val="15"/>
              </w:rPr>
              <w:t>No established OMIM disease association</w:t>
            </w:r>
          </w:p>
        </w:tc>
        <w:tc>
          <w:tcPr>
            <w:tcW w:w="3184" w:type="dxa"/>
            <w:vAlign w:val="center"/>
          </w:tcPr>
          <w:p w14:paraId="2983D015" w14:textId="77777777" w:rsidR="00396ADF" w:rsidRDefault="00396ADF" w:rsidP="003E48F1">
            <w:pPr>
              <w:jc w:val="center"/>
            </w:pPr>
            <w:r>
              <w:rPr>
                <w:sz w:val="15"/>
                <w:szCs w:val="15"/>
              </w:rPr>
              <w:t>Deprioritize — tolerated + benign</w:t>
            </w:r>
          </w:p>
        </w:tc>
      </w:tr>
      <w:tr w:rsidR="00396ADF" w14:paraId="7A9866A1" w14:textId="77777777" w:rsidTr="00396ADF">
        <w:trPr>
          <w:trHeight w:val="895"/>
        </w:trPr>
        <w:tc>
          <w:tcPr>
            <w:tcW w:w="973" w:type="dxa"/>
            <w:vAlign w:val="center"/>
          </w:tcPr>
          <w:p w14:paraId="69217CE7" w14:textId="77777777" w:rsidR="00396ADF" w:rsidRPr="004F6031" w:rsidRDefault="00396ADF" w:rsidP="003E48F1">
            <w:pPr>
              <w:jc w:val="center"/>
              <w:rPr>
                <w:b/>
                <w:bCs/>
                <w:i/>
                <w:iCs/>
                <w:u w:val="single"/>
              </w:rPr>
            </w:pPr>
            <w:r w:rsidRPr="004F6031">
              <w:rPr>
                <w:b/>
                <w:bCs/>
                <w:i/>
                <w:iCs/>
                <w:sz w:val="15"/>
                <w:szCs w:val="15"/>
                <w:highlight w:val="yellow"/>
                <w:u w:val="single"/>
              </w:rPr>
              <w:t>YY1AP1</w:t>
            </w:r>
          </w:p>
        </w:tc>
        <w:tc>
          <w:tcPr>
            <w:tcW w:w="2350" w:type="dxa"/>
            <w:vAlign w:val="center"/>
          </w:tcPr>
          <w:p w14:paraId="44C18B40" w14:textId="77777777" w:rsidR="00396ADF" w:rsidRDefault="00396ADF" w:rsidP="003E48F1">
            <w:pPr>
              <w:jc w:val="center"/>
            </w:pPr>
            <w:r>
              <w:rPr>
                <w:sz w:val="15"/>
                <w:szCs w:val="15"/>
              </w:rPr>
              <w:t>c.T1373G (p.L458R)</w:t>
            </w:r>
          </w:p>
          <w:p w14:paraId="5007EE37" w14:textId="77777777" w:rsidR="00396ADF" w:rsidRDefault="00396ADF" w:rsidP="003E48F1">
            <w:pPr>
              <w:jc w:val="center"/>
            </w:pPr>
            <w:r>
              <w:rPr>
                <w:sz w:val="15"/>
                <w:szCs w:val="15"/>
              </w:rPr>
              <w:t>Homozygous — Nonsyn. SNV</w:t>
            </w:r>
          </w:p>
        </w:tc>
        <w:tc>
          <w:tcPr>
            <w:tcW w:w="1403" w:type="dxa"/>
            <w:vAlign w:val="center"/>
          </w:tcPr>
          <w:p w14:paraId="5B4A9742" w14:textId="44065B83" w:rsidR="00396ADF" w:rsidRDefault="00396ADF" w:rsidP="003E48F1">
            <w:pPr>
              <w:jc w:val="center"/>
            </w:pPr>
            <w:r>
              <w:rPr>
                <w:sz w:val="15"/>
                <w:szCs w:val="15"/>
              </w:rPr>
              <w:t>D (0.005) / D (0.988)</w:t>
            </w:r>
          </w:p>
        </w:tc>
        <w:tc>
          <w:tcPr>
            <w:tcW w:w="1350" w:type="dxa"/>
            <w:vAlign w:val="center"/>
          </w:tcPr>
          <w:p w14:paraId="5799B2AA" w14:textId="77777777" w:rsidR="00396ADF" w:rsidRDefault="00396ADF" w:rsidP="003E48F1">
            <w:pPr>
              <w:jc w:val="center"/>
            </w:pPr>
            <w:r>
              <w:rPr>
                <w:sz w:val="15"/>
                <w:szCs w:val="15"/>
              </w:rPr>
              <w:t>Absent / 8.26E-06</w:t>
            </w:r>
          </w:p>
        </w:tc>
        <w:tc>
          <w:tcPr>
            <w:tcW w:w="1227" w:type="dxa"/>
            <w:vAlign w:val="center"/>
          </w:tcPr>
          <w:p w14:paraId="3E680EFB" w14:textId="77777777" w:rsidR="00396ADF" w:rsidRDefault="00396ADF" w:rsidP="003E48F1">
            <w:pPr>
              <w:jc w:val="center"/>
            </w:pPr>
            <w:r>
              <w:rPr>
                <w:sz w:val="15"/>
                <w:szCs w:val="15"/>
              </w:rPr>
              <w:t>VUS</w:t>
            </w:r>
          </w:p>
        </w:tc>
        <w:tc>
          <w:tcPr>
            <w:tcW w:w="815" w:type="dxa"/>
            <w:vAlign w:val="center"/>
          </w:tcPr>
          <w:p w14:paraId="6891819A" w14:textId="5A7B940D" w:rsidR="00396ADF" w:rsidRDefault="00396ADF" w:rsidP="003E48F1">
            <w:pPr>
              <w:jc w:val="center"/>
              <w:rPr>
                <w:sz w:val="15"/>
                <w:szCs w:val="15"/>
              </w:rPr>
            </w:pPr>
            <w:r>
              <w:rPr>
                <w:sz w:val="15"/>
                <w:szCs w:val="15"/>
              </w:rPr>
              <w:t>AR</w:t>
            </w:r>
          </w:p>
        </w:tc>
        <w:tc>
          <w:tcPr>
            <w:tcW w:w="3588" w:type="dxa"/>
            <w:vAlign w:val="center"/>
          </w:tcPr>
          <w:p w14:paraId="39138A40" w14:textId="1ABF21CA" w:rsidR="00396ADF" w:rsidRDefault="00396ADF" w:rsidP="003E48F1">
            <w:pPr>
              <w:jc w:val="center"/>
            </w:pPr>
            <w:r>
              <w:rPr>
                <w:sz w:val="15"/>
                <w:szCs w:val="15"/>
              </w:rPr>
              <w:t>Grange syndrome (AR): vascular stenoses, brachy/syndactyly, learning difficulty. Partial phenotype overlap (ID); vascular/limb features not reported — verify before ruling in/out.</w:t>
            </w:r>
          </w:p>
        </w:tc>
        <w:tc>
          <w:tcPr>
            <w:tcW w:w="3184" w:type="dxa"/>
            <w:vAlign w:val="center"/>
          </w:tcPr>
          <w:p w14:paraId="3DAB95A3" w14:textId="77777777" w:rsidR="00396ADF" w:rsidRDefault="00396ADF" w:rsidP="003E48F1">
            <w:pPr>
              <w:jc w:val="center"/>
            </w:pPr>
            <w:r>
              <w:rPr>
                <w:sz w:val="15"/>
                <w:szCs w:val="15"/>
              </w:rPr>
              <w:t>Prioritize — damaging + very rare AF; confirm vascular/skeletal phenotype</w:t>
            </w:r>
          </w:p>
        </w:tc>
      </w:tr>
      <w:tr w:rsidR="00396ADF" w14:paraId="51CBCAC5" w14:textId="77777777" w:rsidTr="00396ADF">
        <w:trPr>
          <w:trHeight w:val="454"/>
        </w:trPr>
        <w:tc>
          <w:tcPr>
            <w:tcW w:w="973" w:type="dxa"/>
            <w:vAlign w:val="center"/>
          </w:tcPr>
          <w:p w14:paraId="43A61537" w14:textId="77777777" w:rsidR="00396ADF" w:rsidRPr="004F6031" w:rsidRDefault="00396ADF" w:rsidP="003E48F1">
            <w:pPr>
              <w:jc w:val="center"/>
              <w:rPr>
                <w:i/>
                <w:iCs/>
              </w:rPr>
            </w:pPr>
            <w:r w:rsidRPr="004F6031">
              <w:rPr>
                <w:i/>
                <w:iCs/>
                <w:sz w:val="15"/>
                <w:szCs w:val="15"/>
              </w:rPr>
              <w:t>KRTAP5-5</w:t>
            </w:r>
          </w:p>
        </w:tc>
        <w:tc>
          <w:tcPr>
            <w:tcW w:w="2350" w:type="dxa"/>
            <w:vAlign w:val="center"/>
          </w:tcPr>
          <w:p w14:paraId="5588BA04" w14:textId="6767CB4A" w:rsidR="00396ADF" w:rsidRDefault="00396ADF" w:rsidP="003E48F1">
            <w:pPr>
              <w:jc w:val="center"/>
            </w:pPr>
            <w:r>
              <w:rPr>
                <w:sz w:val="15"/>
                <w:szCs w:val="15"/>
              </w:rPr>
              <w:t>c.158_159ins26bp (pA53fs)</w:t>
            </w:r>
          </w:p>
          <w:p w14:paraId="79551FE3" w14:textId="77777777" w:rsidR="00396ADF" w:rsidRDefault="00396ADF" w:rsidP="003E48F1">
            <w:pPr>
              <w:jc w:val="center"/>
            </w:pPr>
            <w:r>
              <w:rPr>
                <w:sz w:val="15"/>
                <w:szCs w:val="15"/>
              </w:rPr>
              <w:t>Homozygous — Frameshift ins.</w:t>
            </w:r>
          </w:p>
        </w:tc>
        <w:tc>
          <w:tcPr>
            <w:tcW w:w="1403" w:type="dxa"/>
            <w:vAlign w:val="center"/>
          </w:tcPr>
          <w:p w14:paraId="51B55202" w14:textId="4716529B" w:rsidR="00396ADF" w:rsidRDefault="00396ADF" w:rsidP="003E48F1">
            <w:pPr>
              <w:jc w:val="center"/>
            </w:pPr>
            <w:r>
              <w:rPr>
                <w:sz w:val="15"/>
                <w:szCs w:val="15"/>
              </w:rPr>
              <w:t>—</w:t>
            </w:r>
          </w:p>
        </w:tc>
        <w:tc>
          <w:tcPr>
            <w:tcW w:w="1350" w:type="dxa"/>
            <w:vAlign w:val="center"/>
          </w:tcPr>
          <w:p w14:paraId="3417EB06" w14:textId="77777777" w:rsidR="00396ADF" w:rsidRDefault="00396ADF" w:rsidP="003E48F1">
            <w:pPr>
              <w:jc w:val="center"/>
            </w:pPr>
            <w:r>
              <w:rPr>
                <w:sz w:val="15"/>
                <w:szCs w:val="15"/>
              </w:rPr>
              <w:t>~0.0097 / 0.0045</w:t>
            </w:r>
          </w:p>
        </w:tc>
        <w:tc>
          <w:tcPr>
            <w:tcW w:w="1227" w:type="dxa"/>
            <w:vAlign w:val="center"/>
          </w:tcPr>
          <w:p w14:paraId="14A005EC" w14:textId="77777777" w:rsidR="00396ADF" w:rsidRDefault="00396ADF" w:rsidP="003E48F1">
            <w:pPr>
              <w:jc w:val="center"/>
            </w:pPr>
            <w:r>
              <w:rPr>
                <w:sz w:val="15"/>
                <w:szCs w:val="15"/>
              </w:rPr>
              <w:t>—</w:t>
            </w:r>
          </w:p>
        </w:tc>
        <w:tc>
          <w:tcPr>
            <w:tcW w:w="815" w:type="dxa"/>
            <w:vAlign w:val="center"/>
          </w:tcPr>
          <w:p w14:paraId="15D2454D" w14:textId="51EB8C11" w:rsidR="00396ADF" w:rsidRDefault="00396ADF" w:rsidP="003E48F1">
            <w:pPr>
              <w:jc w:val="center"/>
              <w:rPr>
                <w:sz w:val="15"/>
                <w:szCs w:val="15"/>
              </w:rPr>
            </w:pPr>
            <w:r>
              <w:rPr>
                <w:sz w:val="15"/>
                <w:szCs w:val="15"/>
              </w:rPr>
              <w:t>—</w:t>
            </w:r>
          </w:p>
        </w:tc>
        <w:tc>
          <w:tcPr>
            <w:tcW w:w="3588" w:type="dxa"/>
            <w:vAlign w:val="center"/>
          </w:tcPr>
          <w:p w14:paraId="5A0FDFD0" w14:textId="15CB41CD" w:rsidR="00396ADF" w:rsidRDefault="00396ADF" w:rsidP="003E48F1">
            <w:pPr>
              <w:jc w:val="center"/>
            </w:pPr>
            <w:r>
              <w:rPr>
                <w:sz w:val="15"/>
                <w:szCs w:val="15"/>
              </w:rPr>
              <w:t>Keratin-associated protein (hair) — no neurodevelopmental link</w:t>
            </w:r>
          </w:p>
        </w:tc>
        <w:tc>
          <w:tcPr>
            <w:tcW w:w="3184" w:type="dxa"/>
            <w:vAlign w:val="center"/>
          </w:tcPr>
          <w:p w14:paraId="2E0A076E" w14:textId="77777777" w:rsidR="00396ADF" w:rsidRDefault="00396ADF" w:rsidP="003E48F1">
            <w:pPr>
              <w:jc w:val="center"/>
            </w:pPr>
            <w:r>
              <w:rPr>
                <w:sz w:val="15"/>
                <w:szCs w:val="15"/>
              </w:rPr>
              <w:t>Deprioritize — frequent + gene unrelated to phenotype</w:t>
            </w:r>
          </w:p>
        </w:tc>
      </w:tr>
      <w:tr w:rsidR="00396ADF" w14:paraId="68B9754C" w14:textId="77777777" w:rsidTr="00396ADF">
        <w:trPr>
          <w:trHeight w:val="439"/>
        </w:trPr>
        <w:tc>
          <w:tcPr>
            <w:tcW w:w="973" w:type="dxa"/>
            <w:vAlign w:val="center"/>
          </w:tcPr>
          <w:p w14:paraId="122ED02B" w14:textId="77777777" w:rsidR="00396ADF" w:rsidRPr="004F6031" w:rsidRDefault="00396ADF" w:rsidP="003E48F1">
            <w:pPr>
              <w:jc w:val="center"/>
              <w:rPr>
                <w:i/>
                <w:iCs/>
              </w:rPr>
            </w:pPr>
            <w:r w:rsidRPr="004F6031">
              <w:rPr>
                <w:i/>
                <w:iCs/>
                <w:sz w:val="15"/>
                <w:szCs w:val="15"/>
              </w:rPr>
              <w:t>KRTAP5-5</w:t>
            </w:r>
          </w:p>
        </w:tc>
        <w:tc>
          <w:tcPr>
            <w:tcW w:w="2350" w:type="dxa"/>
            <w:vAlign w:val="center"/>
          </w:tcPr>
          <w:p w14:paraId="28F4CAFA" w14:textId="77777777" w:rsidR="00396ADF" w:rsidRDefault="00396ADF" w:rsidP="003E48F1">
            <w:pPr>
              <w:jc w:val="center"/>
            </w:pPr>
            <w:r>
              <w:rPr>
                <w:sz w:val="15"/>
                <w:szCs w:val="15"/>
              </w:rPr>
              <w:t>c.156_157insGGAG (p.C52fs)</w:t>
            </w:r>
          </w:p>
          <w:p w14:paraId="521BABFD" w14:textId="77777777" w:rsidR="00396ADF" w:rsidRDefault="00396ADF" w:rsidP="003E48F1">
            <w:pPr>
              <w:jc w:val="center"/>
            </w:pPr>
            <w:r>
              <w:rPr>
                <w:sz w:val="15"/>
                <w:szCs w:val="15"/>
              </w:rPr>
              <w:t>Homozygous — Frameshift ins.</w:t>
            </w:r>
          </w:p>
        </w:tc>
        <w:tc>
          <w:tcPr>
            <w:tcW w:w="1403" w:type="dxa"/>
            <w:vAlign w:val="center"/>
          </w:tcPr>
          <w:p w14:paraId="0AA1FA94" w14:textId="4DD9AB16" w:rsidR="00396ADF" w:rsidRDefault="00396ADF" w:rsidP="003E48F1">
            <w:pPr>
              <w:jc w:val="center"/>
            </w:pPr>
            <w:r>
              <w:rPr>
                <w:sz w:val="15"/>
                <w:szCs w:val="15"/>
              </w:rPr>
              <w:t>—</w:t>
            </w:r>
          </w:p>
        </w:tc>
        <w:tc>
          <w:tcPr>
            <w:tcW w:w="1350" w:type="dxa"/>
            <w:vAlign w:val="center"/>
          </w:tcPr>
          <w:p w14:paraId="0316C84D" w14:textId="77777777" w:rsidR="00396ADF" w:rsidRDefault="00396ADF" w:rsidP="003E48F1">
            <w:pPr>
              <w:jc w:val="center"/>
            </w:pPr>
            <w:r>
              <w:rPr>
                <w:sz w:val="15"/>
                <w:szCs w:val="15"/>
              </w:rPr>
              <w:t>~0.0027 / 0.0007</w:t>
            </w:r>
          </w:p>
        </w:tc>
        <w:tc>
          <w:tcPr>
            <w:tcW w:w="1227" w:type="dxa"/>
            <w:vAlign w:val="center"/>
          </w:tcPr>
          <w:p w14:paraId="1C0EDEDB" w14:textId="77777777" w:rsidR="00396ADF" w:rsidRDefault="00396ADF" w:rsidP="003E48F1">
            <w:pPr>
              <w:jc w:val="center"/>
            </w:pPr>
            <w:r>
              <w:rPr>
                <w:sz w:val="15"/>
                <w:szCs w:val="15"/>
              </w:rPr>
              <w:t>—</w:t>
            </w:r>
          </w:p>
        </w:tc>
        <w:tc>
          <w:tcPr>
            <w:tcW w:w="815" w:type="dxa"/>
            <w:vAlign w:val="center"/>
          </w:tcPr>
          <w:p w14:paraId="67A430B2" w14:textId="54693DBE" w:rsidR="00396ADF" w:rsidRDefault="00396ADF" w:rsidP="003E48F1">
            <w:pPr>
              <w:jc w:val="center"/>
              <w:rPr>
                <w:sz w:val="15"/>
                <w:szCs w:val="15"/>
              </w:rPr>
            </w:pPr>
            <w:r>
              <w:rPr>
                <w:sz w:val="15"/>
                <w:szCs w:val="15"/>
              </w:rPr>
              <w:t>—</w:t>
            </w:r>
          </w:p>
        </w:tc>
        <w:tc>
          <w:tcPr>
            <w:tcW w:w="3588" w:type="dxa"/>
            <w:vAlign w:val="center"/>
          </w:tcPr>
          <w:p w14:paraId="018849D6" w14:textId="1A5A36B0" w:rsidR="00396ADF" w:rsidRDefault="00396ADF" w:rsidP="003E48F1">
            <w:pPr>
              <w:jc w:val="center"/>
            </w:pPr>
            <w:r>
              <w:rPr>
                <w:sz w:val="15"/>
                <w:szCs w:val="15"/>
              </w:rPr>
              <w:t>Keratin-associated protein — no neurodevelopmental link</w:t>
            </w:r>
          </w:p>
        </w:tc>
        <w:tc>
          <w:tcPr>
            <w:tcW w:w="3184" w:type="dxa"/>
            <w:vAlign w:val="center"/>
          </w:tcPr>
          <w:p w14:paraId="64854BCA" w14:textId="77777777" w:rsidR="00396ADF" w:rsidRDefault="00396ADF" w:rsidP="003E48F1">
            <w:pPr>
              <w:jc w:val="center"/>
            </w:pPr>
            <w:r>
              <w:rPr>
                <w:sz w:val="15"/>
                <w:szCs w:val="15"/>
              </w:rPr>
              <w:t>Deprioritize/review — AF not ultra-rare + unrelated gene</w:t>
            </w:r>
          </w:p>
        </w:tc>
      </w:tr>
      <w:tr w:rsidR="00396ADF" w14:paraId="6F9FCE5B" w14:textId="77777777" w:rsidTr="00396ADF">
        <w:trPr>
          <w:trHeight w:val="675"/>
        </w:trPr>
        <w:tc>
          <w:tcPr>
            <w:tcW w:w="973" w:type="dxa"/>
            <w:vAlign w:val="center"/>
          </w:tcPr>
          <w:p w14:paraId="2DD5E603" w14:textId="77777777" w:rsidR="00396ADF" w:rsidRPr="004F6031" w:rsidRDefault="00396ADF" w:rsidP="003E48F1">
            <w:pPr>
              <w:jc w:val="center"/>
              <w:rPr>
                <w:i/>
                <w:iCs/>
              </w:rPr>
            </w:pPr>
            <w:r w:rsidRPr="004F6031">
              <w:rPr>
                <w:i/>
                <w:iCs/>
                <w:sz w:val="15"/>
                <w:szCs w:val="15"/>
              </w:rPr>
              <w:t>MAML2</w:t>
            </w:r>
          </w:p>
        </w:tc>
        <w:tc>
          <w:tcPr>
            <w:tcW w:w="2350" w:type="dxa"/>
            <w:vAlign w:val="center"/>
          </w:tcPr>
          <w:p w14:paraId="01E5CF2B" w14:textId="77777777" w:rsidR="00396ADF" w:rsidRDefault="00396ADF" w:rsidP="003E48F1">
            <w:pPr>
              <w:jc w:val="center"/>
            </w:pPr>
            <w:r>
              <w:rPr>
                <w:sz w:val="15"/>
                <w:szCs w:val="15"/>
              </w:rPr>
              <w:t>c.1941_1961del (p.647_654del)</w:t>
            </w:r>
          </w:p>
          <w:p w14:paraId="6849626F" w14:textId="77777777" w:rsidR="00396ADF" w:rsidRDefault="00396ADF" w:rsidP="003E48F1">
            <w:pPr>
              <w:jc w:val="center"/>
            </w:pPr>
            <w:r>
              <w:rPr>
                <w:sz w:val="15"/>
                <w:szCs w:val="15"/>
              </w:rPr>
              <w:t>Homozygous — In-frame del.</w:t>
            </w:r>
          </w:p>
        </w:tc>
        <w:tc>
          <w:tcPr>
            <w:tcW w:w="1403" w:type="dxa"/>
            <w:vAlign w:val="center"/>
          </w:tcPr>
          <w:p w14:paraId="625236E8" w14:textId="3C35E1FE" w:rsidR="00396ADF" w:rsidRDefault="00396ADF" w:rsidP="003E48F1">
            <w:pPr>
              <w:jc w:val="center"/>
            </w:pPr>
            <w:r>
              <w:rPr>
                <w:sz w:val="15"/>
                <w:szCs w:val="15"/>
              </w:rPr>
              <w:t>—</w:t>
            </w:r>
          </w:p>
        </w:tc>
        <w:tc>
          <w:tcPr>
            <w:tcW w:w="1350" w:type="dxa"/>
            <w:vAlign w:val="center"/>
          </w:tcPr>
          <w:p w14:paraId="0711596C" w14:textId="77777777" w:rsidR="00396ADF" w:rsidRDefault="00396ADF" w:rsidP="003E48F1">
            <w:pPr>
              <w:jc w:val="center"/>
            </w:pPr>
            <w:r>
              <w:rPr>
                <w:sz w:val="15"/>
                <w:szCs w:val="15"/>
              </w:rPr>
              <w:t>~0.0019 / 0.0024</w:t>
            </w:r>
          </w:p>
        </w:tc>
        <w:tc>
          <w:tcPr>
            <w:tcW w:w="1227" w:type="dxa"/>
            <w:vAlign w:val="center"/>
          </w:tcPr>
          <w:p w14:paraId="3FA0305E" w14:textId="77777777" w:rsidR="00396ADF" w:rsidRDefault="00396ADF" w:rsidP="003E48F1">
            <w:pPr>
              <w:jc w:val="center"/>
            </w:pPr>
            <w:r>
              <w:rPr>
                <w:sz w:val="15"/>
                <w:szCs w:val="15"/>
              </w:rPr>
              <w:t>—</w:t>
            </w:r>
          </w:p>
        </w:tc>
        <w:tc>
          <w:tcPr>
            <w:tcW w:w="815" w:type="dxa"/>
            <w:vAlign w:val="center"/>
          </w:tcPr>
          <w:p w14:paraId="4018093F" w14:textId="64728C7F" w:rsidR="00396ADF" w:rsidRDefault="00396ADF" w:rsidP="003E48F1">
            <w:pPr>
              <w:jc w:val="center"/>
              <w:rPr>
                <w:sz w:val="15"/>
                <w:szCs w:val="15"/>
              </w:rPr>
            </w:pPr>
            <w:r>
              <w:rPr>
                <w:sz w:val="15"/>
                <w:szCs w:val="15"/>
              </w:rPr>
              <w:t>—</w:t>
            </w:r>
          </w:p>
        </w:tc>
        <w:tc>
          <w:tcPr>
            <w:tcW w:w="3588" w:type="dxa"/>
            <w:vAlign w:val="center"/>
          </w:tcPr>
          <w:p w14:paraId="7F6C5F76" w14:textId="5C11E750" w:rsidR="00396ADF" w:rsidRDefault="00396ADF" w:rsidP="003E48F1">
            <w:pPr>
              <w:jc w:val="center"/>
            </w:pPr>
            <w:r>
              <w:rPr>
                <w:sz w:val="15"/>
                <w:szCs w:val="15"/>
              </w:rPr>
              <w:t>Somatic driver (mucoepidermoid carcinoma translocations); no germline recessive disease established</w:t>
            </w:r>
          </w:p>
        </w:tc>
        <w:tc>
          <w:tcPr>
            <w:tcW w:w="3184" w:type="dxa"/>
            <w:vAlign w:val="center"/>
          </w:tcPr>
          <w:p w14:paraId="7B971F7C" w14:textId="77777777" w:rsidR="00396ADF" w:rsidRDefault="00396ADF" w:rsidP="003E48F1">
            <w:pPr>
              <w:jc w:val="center"/>
            </w:pPr>
            <w:r>
              <w:rPr>
                <w:sz w:val="15"/>
                <w:szCs w:val="15"/>
              </w:rPr>
              <w:t>Deprioritize/review — measurable AF, no germline link</w:t>
            </w:r>
          </w:p>
        </w:tc>
      </w:tr>
      <w:tr w:rsidR="00396ADF" w14:paraId="38680FE5" w14:textId="77777777" w:rsidTr="00396ADF">
        <w:trPr>
          <w:trHeight w:val="454"/>
        </w:trPr>
        <w:tc>
          <w:tcPr>
            <w:tcW w:w="973" w:type="dxa"/>
            <w:vAlign w:val="center"/>
          </w:tcPr>
          <w:p w14:paraId="60BC7211" w14:textId="77777777" w:rsidR="00396ADF" w:rsidRPr="004F6031" w:rsidRDefault="00396ADF" w:rsidP="003E48F1">
            <w:pPr>
              <w:jc w:val="center"/>
              <w:rPr>
                <w:i/>
                <w:iCs/>
              </w:rPr>
            </w:pPr>
            <w:r w:rsidRPr="004F6031">
              <w:rPr>
                <w:i/>
                <w:iCs/>
                <w:sz w:val="15"/>
                <w:szCs w:val="15"/>
              </w:rPr>
              <w:t>LTBP1</w:t>
            </w:r>
          </w:p>
        </w:tc>
        <w:tc>
          <w:tcPr>
            <w:tcW w:w="2350" w:type="dxa"/>
            <w:vAlign w:val="center"/>
          </w:tcPr>
          <w:p w14:paraId="3870DD81" w14:textId="77777777" w:rsidR="00396ADF" w:rsidRDefault="00396ADF" w:rsidP="003E48F1">
            <w:pPr>
              <w:jc w:val="center"/>
            </w:pPr>
            <w:r>
              <w:rPr>
                <w:sz w:val="15"/>
                <w:szCs w:val="15"/>
              </w:rPr>
              <w:t>c.G2111A (p.R704Q)</w:t>
            </w:r>
          </w:p>
          <w:p w14:paraId="5CEE63D8" w14:textId="77777777" w:rsidR="00396ADF" w:rsidRDefault="00396ADF" w:rsidP="003E48F1">
            <w:pPr>
              <w:jc w:val="center"/>
            </w:pPr>
            <w:r>
              <w:rPr>
                <w:sz w:val="15"/>
                <w:szCs w:val="15"/>
              </w:rPr>
              <w:t>Homozygous — Nonsyn. SNV</w:t>
            </w:r>
          </w:p>
        </w:tc>
        <w:tc>
          <w:tcPr>
            <w:tcW w:w="1403" w:type="dxa"/>
            <w:vAlign w:val="center"/>
          </w:tcPr>
          <w:p w14:paraId="40794856" w14:textId="780FF132" w:rsidR="00396ADF" w:rsidRDefault="00396ADF" w:rsidP="003E48F1">
            <w:pPr>
              <w:jc w:val="center"/>
            </w:pPr>
            <w:r>
              <w:rPr>
                <w:sz w:val="15"/>
                <w:szCs w:val="15"/>
              </w:rPr>
              <w:t>T (0.154) / B (0.019)</w:t>
            </w:r>
          </w:p>
        </w:tc>
        <w:tc>
          <w:tcPr>
            <w:tcW w:w="1350" w:type="dxa"/>
            <w:vAlign w:val="center"/>
          </w:tcPr>
          <w:p w14:paraId="07D8D02E" w14:textId="77777777" w:rsidR="00396ADF" w:rsidRDefault="00396ADF" w:rsidP="003E48F1">
            <w:pPr>
              <w:jc w:val="center"/>
            </w:pPr>
            <w:r>
              <w:rPr>
                <w:sz w:val="15"/>
                <w:szCs w:val="15"/>
              </w:rPr>
              <w:t>~0.0032 / 0.0065</w:t>
            </w:r>
          </w:p>
        </w:tc>
        <w:tc>
          <w:tcPr>
            <w:tcW w:w="1227" w:type="dxa"/>
            <w:vAlign w:val="center"/>
          </w:tcPr>
          <w:p w14:paraId="23B72C62" w14:textId="77777777" w:rsidR="00396ADF" w:rsidRDefault="00396ADF" w:rsidP="003E48F1">
            <w:pPr>
              <w:jc w:val="center"/>
            </w:pPr>
            <w:r>
              <w:rPr>
                <w:sz w:val="15"/>
                <w:szCs w:val="15"/>
              </w:rPr>
              <w:t>VUS</w:t>
            </w:r>
          </w:p>
        </w:tc>
        <w:tc>
          <w:tcPr>
            <w:tcW w:w="815" w:type="dxa"/>
            <w:vAlign w:val="center"/>
          </w:tcPr>
          <w:p w14:paraId="0B9BEEE8" w14:textId="1984C240" w:rsidR="00396ADF" w:rsidRDefault="00396ADF" w:rsidP="003E48F1">
            <w:pPr>
              <w:jc w:val="center"/>
              <w:rPr>
                <w:sz w:val="15"/>
                <w:szCs w:val="15"/>
              </w:rPr>
            </w:pPr>
            <w:r>
              <w:rPr>
                <w:sz w:val="15"/>
                <w:szCs w:val="15"/>
              </w:rPr>
              <w:t>AR</w:t>
            </w:r>
          </w:p>
        </w:tc>
        <w:tc>
          <w:tcPr>
            <w:tcW w:w="3588" w:type="dxa"/>
            <w:vAlign w:val="center"/>
          </w:tcPr>
          <w:p w14:paraId="452E83DE" w14:textId="00782B3A" w:rsidR="00396ADF" w:rsidRDefault="00396ADF" w:rsidP="003E48F1">
            <w:pPr>
              <w:jc w:val="center"/>
            </w:pPr>
            <w:r>
              <w:rPr>
                <w:sz w:val="15"/>
                <w:szCs w:val="15"/>
              </w:rPr>
              <w:t>Geleophysic/cutis-laxa-like (AR): short stature, skin laxity — not reported in proband</w:t>
            </w:r>
          </w:p>
        </w:tc>
        <w:tc>
          <w:tcPr>
            <w:tcW w:w="3184" w:type="dxa"/>
            <w:vAlign w:val="center"/>
          </w:tcPr>
          <w:p w14:paraId="2485B471" w14:textId="77777777" w:rsidR="00396ADF" w:rsidRDefault="00396ADF" w:rsidP="003E48F1">
            <w:pPr>
              <w:jc w:val="center"/>
            </w:pPr>
            <w:r>
              <w:rPr>
                <w:sz w:val="15"/>
                <w:szCs w:val="15"/>
              </w:rPr>
              <w:t>Deprioritize — tolerated/benign + relatively high AF</w:t>
            </w:r>
          </w:p>
        </w:tc>
      </w:tr>
      <w:tr w:rsidR="00396ADF" w14:paraId="5A63722C" w14:textId="77777777" w:rsidTr="00396ADF">
        <w:trPr>
          <w:trHeight w:val="439"/>
        </w:trPr>
        <w:tc>
          <w:tcPr>
            <w:tcW w:w="973" w:type="dxa"/>
            <w:vAlign w:val="center"/>
          </w:tcPr>
          <w:p w14:paraId="0B368A8D" w14:textId="77777777" w:rsidR="00396ADF" w:rsidRPr="004F6031" w:rsidRDefault="00396ADF" w:rsidP="003E48F1">
            <w:pPr>
              <w:jc w:val="center"/>
              <w:rPr>
                <w:i/>
                <w:iCs/>
              </w:rPr>
            </w:pPr>
            <w:r w:rsidRPr="004F6031">
              <w:rPr>
                <w:i/>
                <w:iCs/>
                <w:sz w:val="15"/>
                <w:szCs w:val="15"/>
              </w:rPr>
              <w:t>VRK2</w:t>
            </w:r>
          </w:p>
        </w:tc>
        <w:tc>
          <w:tcPr>
            <w:tcW w:w="2350" w:type="dxa"/>
            <w:vAlign w:val="center"/>
          </w:tcPr>
          <w:p w14:paraId="466E0C34" w14:textId="77777777" w:rsidR="00396ADF" w:rsidRDefault="00396ADF" w:rsidP="003E48F1">
            <w:pPr>
              <w:jc w:val="center"/>
            </w:pPr>
            <w:r>
              <w:rPr>
                <w:sz w:val="15"/>
                <w:szCs w:val="15"/>
              </w:rPr>
              <w:t>c.T1504C (p.F502L)</w:t>
            </w:r>
          </w:p>
          <w:p w14:paraId="06D6FD96" w14:textId="77777777" w:rsidR="00396ADF" w:rsidRDefault="00396ADF" w:rsidP="003E48F1">
            <w:pPr>
              <w:jc w:val="center"/>
            </w:pPr>
            <w:r>
              <w:rPr>
                <w:sz w:val="15"/>
                <w:szCs w:val="15"/>
              </w:rPr>
              <w:t>Homozygous — Nonsyn. SNV</w:t>
            </w:r>
          </w:p>
        </w:tc>
        <w:tc>
          <w:tcPr>
            <w:tcW w:w="1403" w:type="dxa"/>
            <w:vAlign w:val="center"/>
          </w:tcPr>
          <w:p w14:paraId="00CB1D0B" w14:textId="52BDBD66" w:rsidR="00396ADF" w:rsidRDefault="00396ADF" w:rsidP="003E48F1">
            <w:pPr>
              <w:jc w:val="center"/>
            </w:pPr>
            <w:r>
              <w:rPr>
                <w:sz w:val="15"/>
                <w:szCs w:val="15"/>
              </w:rPr>
              <w:t>T (0.962) / B (0.001)</w:t>
            </w:r>
          </w:p>
        </w:tc>
        <w:tc>
          <w:tcPr>
            <w:tcW w:w="1350" w:type="dxa"/>
            <w:vAlign w:val="center"/>
          </w:tcPr>
          <w:p w14:paraId="0B25CF4B" w14:textId="77777777" w:rsidR="00396ADF" w:rsidRDefault="00396ADF" w:rsidP="003E48F1">
            <w:pPr>
              <w:jc w:val="center"/>
            </w:pPr>
            <w:r>
              <w:rPr>
                <w:sz w:val="15"/>
                <w:szCs w:val="15"/>
              </w:rPr>
              <w:t>~0.011 / 0.007</w:t>
            </w:r>
          </w:p>
        </w:tc>
        <w:tc>
          <w:tcPr>
            <w:tcW w:w="1227" w:type="dxa"/>
            <w:vAlign w:val="center"/>
          </w:tcPr>
          <w:p w14:paraId="448E2EBD" w14:textId="77777777" w:rsidR="00396ADF" w:rsidRDefault="00396ADF" w:rsidP="003E48F1">
            <w:pPr>
              <w:jc w:val="center"/>
            </w:pPr>
            <w:r>
              <w:rPr>
                <w:sz w:val="15"/>
                <w:szCs w:val="15"/>
              </w:rPr>
              <w:t>VUS</w:t>
            </w:r>
          </w:p>
        </w:tc>
        <w:tc>
          <w:tcPr>
            <w:tcW w:w="815" w:type="dxa"/>
            <w:vAlign w:val="center"/>
          </w:tcPr>
          <w:p w14:paraId="56BCEB8F" w14:textId="151CCA20" w:rsidR="00396ADF" w:rsidRDefault="00396ADF" w:rsidP="003E48F1">
            <w:pPr>
              <w:jc w:val="center"/>
              <w:rPr>
                <w:sz w:val="15"/>
                <w:szCs w:val="15"/>
              </w:rPr>
            </w:pPr>
            <w:r>
              <w:rPr>
                <w:sz w:val="15"/>
                <w:szCs w:val="15"/>
              </w:rPr>
              <w:t>—</w:t>
            </w:r>
          </w:p>
        </w:tc>
        <w:tc>
          <w:tcPr>
            <w:tcW w:w="3588" w:type="dxa"/>
            <w:vAlign w:val="center"/>
          </w:tcPr>
          <w:p w14:paraId="1DA3DA5F" w14:textId="4B6A516D" w:rsidR="00396ADF" w:rsidRDefault="00396ADF" w:rsidP="003E48F1">
            <w:pPr>
              <w:jc w:val="center"/>
            </w:pPr>
            <w:r>
              <w:rPr>
                <w:sz w:val="15"/>
                <w:szCs w:val="15"/>
              </w:rPr>
              <w:t>GWAS-level link to epilepsy/psychiatric traits; not an established Mendelian gene</w:t>
            </w:r>
          </w:p>
        </w:tc>
        <w:tc>
          <w:tcPr>
            <w:tcW w:w="3184" w:type="dxa"/>
            <w:vAlign w:val="center"/>
          </w:tcPr>
          <w:p w14:paraId="31FD383E" w14:textId="77777777" w:rsidR="00396ADF" w:rsidRDefault="00396ADF" w:rsidP="003E48F1">
            <w:pPr>
              <w:jc w:val="center"/>
            </w:pPr>
            <w:r>
              <w:rPr>
                <w:sz w:val="15"/>
                <w:szCs w:val="15"/>
              </w:rPr>
              <w:t>Deprioritize — high AF + benign predictions</w:t>
            </w:r>
          </w:p>
        </w:tc>
      </w:tr>
      <w:tr w:rsidR="00396ADF" w14:paraId="25D48E0E" w14:textId="77777777" w:rsidTr="00396ADF">
        <w:trPr>
          <w:trHeight w:val="910"/>
        </w:trPr>
        <w:tc>
          <w:tcPr>
            <w:tcW w:w="973" w:type="dxa"/>
            <w:vAlign w:val="center"/>
          </w:tcPr>
          <w:p w14:paraId="341FDF0C" w14:textId="77777777" w:rsidR="00396ADF" w:rsidRPr="004F6031" w:rsidRDefault="00396ADF" w:rsidP="003E48F1">
            <w:pPr>
              <w:jc w:val="center"/>
              <w:rPr>
                <w:b/>
                <w:bCs/>
                <w:i/>
                <w:iCs/>
                <w:highlight w:val="yellow"/>
                <w:u w:val="single"/>
              </w:rPr>
            </w:pPr>
            <w:r w:rsidRPr="004F6031">
              <w:rPr>
                <w:b/>
                <w:bCs/>
                <w:i/>
                <w:iCs/>
                <w:sz w:val="15"/>
                <w:szCs w:val="15"/>
                <w:highlight w:val="yellow"/>
                <w:u w:val="single"/>
              </w:rPr>
              <w:t>C2orf71</w:t>
            </w:r>
          </w:p>
          <w:p w14:paraId="45BC99C3" w14:textId="77777777" w:rsidR="00396ADF" w:rsidRPr="004F6031" w:rsidRDefault="00396ADF" w:rsidP="003E48F1">
            <w:pPr>
              <w:jc w:val="center"/>
              <w:rPr>
                <w:i/>
                <w:iCs/>
              </w:rPr>
            </w:pPr>
            <w:r w:rsidRPr="004F6031">
              <w:rPr>
                <w:b/>
                <w:bCs/>
                <w:i/>
                <w:iCs/>
                <w:sz w:val="15"/>
                <w:szCs w:val="15"/>
                <w:highlight w:val="yellow"/>
                <w:u w:val="single"/>
              </w:rPr>
              <w:t>(PCARE)</w:t>
            </w:r>
          </w:p>
        </w:tc>
        <w:tc>
          <w:tcPr>
            <w:tcW w:w="2350" w:type="dxa"/>
            <w:vAlign w:val="center"/>
          </w:tcPr>
          <w:p w14:paraId="6F63B5D6" w14:textId="77777777" w:rsidR="00396ADF" w:rsidRDefault="00396ADF" w:rsidP="003E48F1">
            <w:pPr>
              <w:jc w:val="center"/>
            </w:pPr>
            <w:r>
              <w:rPr>
                <w:sz w:val="15"/>
                <w:szCs w:val="15"/>
              </w:rPr>
              <w:t>c.G2191A (p.V731I)</w:t>
            </w:r>
          </w:p>
          <w:p w14:paraId="5F43D770" w14:textId="77777777" w:rsidR="00396ADF" w:rsidRDefault="00396ADF" w:rsidP="003E48F1">
            <w:pPr>
              <w:jc w:val="center"/>
            </w:pPr>
            <w:r>
              <w:rPr>
                <w:sz w:val="15"/>
                <w:szCs w:val="15"/>
              </w:rPr>
              <w:t>Homozygous — Nonsyn. SNV</w:t>
            </w:r>
          </w:p>
        </w:tc>
        <w:tc>
          <w:tcPr>
            <w:tcW w:w="1403" w:type="dxa"/>
            <w:vAlign w:val="center"/>
          </w:tcPr>
          <w:p w14:paraId="48ACD7E7" w14:textId="2F29CB0C" w:rsidR="00396ADF" w:rsidRDefault="00396ADF" w:rsidP="003E48F1">
            <w:pPr>
              <w:jc w:val="center"/>
            </w:pPr>
            <w:r>
              <w:rPr>
                <w:sz w:val="15"/>
                <w:szCs w:val="15"/>
              </w:rPr>
              <w:t>D (0) / D (0.989)</w:t>
            </w:r>
          </w:p>
        </w:tc>
        <w:tc>
          <w:tcPr>
            <w:tcW w:w="1350" w:type="dxa"/>
            <w:vAlign w:val="center"/>
          </w:tcPr>
          <w:p w14:paraId="29E38832" w14:textId="77777777" w:rsidR="00396ADF" w:rsidRDefault="00396ADF" w:rsidP="003E48F1">
            <w:pPr>
              <w:jc w:val="center"/>
            </w:pPr>
            <w:r>
              <w:rPr>
                <w:sz w:val="15"/>
                <w:szCs w:val="15"/>
              </w:rPr>
              <w:t>~8.10E-05 / 0.0005</w:t>
            </w:r>
          </w:p>
        </w:tc>
        <w:tc>
          <w:tcPr>
            <w:tcW w:w="1227" w:type="dxa"/>
            <w:vAlign w:val="center"/>
          </w:tcPr>
          <w:p w14:paraId="18ECA063" w14:textId="77777777" w:rsidR="00396ADF" w:rsidRDefault="00396ADF" w:rsidP="003E48F1">
            <w:pPr>
              <w:jc w:val="center"/>
            </w:pPr>
            <w:r>
              <w:rPr>
                <w:sz w:val="15"/>
                <w:szCs w:val="15"/>
              </w:rPr>
              <w:t>VUS</w:t>
            </w:r>
          </w:p>
        </w:tc>
        <w:tc>
          <w:tcPr>
            <w:tcW w:w="815" w:type="dxa"/>
            <w:vAlign w:val="center"/>
          </w:tcPr>
          <w:p w14:paraId="782FCBB4" w14:textId="0C82DBEF" w:rsidR="00396ADF" w:rsidRDefault="00396ADF" w:rsidP="003E48F1">
            <w:pPr>
              <w:jc w:val="center"/>
              <w:rPr>
                <w:sz w:val="15"/>
                <w:szCs w:val="15"/>
              </w:rPr>
            </w:pPr>
            <w:r>
              <w:rPr>
                <w:sz w:val="15"/>
                <w:szCs w:val="15"/>
              </w:rPr>
              <w:t>AR</w:t>
            </w:r>
          </w:p>
        </w:tc>
        <w:tc>
          <w:tcPr>
            <w:tcW w:w="3588" w:type="dxa"/>
            <w:vAlign w:val="center"/>
          </w:tcPr>
          <w:p w14:paraId="48D1AE9C" w14:textId="6E66C5E8" w:rsidR="00396ADF" w:rsidRDefault="00396ADF" w:rsidP="003E48F1">
            <w:pPr>
              <w:jc w:val="center"/>
            </w:pPr>
            <w:r>
              <w:rPr>
                <w:sz w:val="15"/>
                <w:szCs w:val="15"/>
              </w:rPr>
              <w:t>Retinitis pigmentosa 54 (AR) — established recessive retinal-dystrophy gene. Good match with reported visual impairment; recommend ERG/fundus exam.</w:t>
            </w:r>
          </w:p>
        </w:tc>
        <w:tc>
          <w:tcPr>
            <w:tcW w:w="3184" w:type="dxa"/>
            <w:vAlign w:val="center"/>
          </w:tcPr>
          <w:p w14:paraId="2F247CCD" w14:textId="77777777" w:rsidR="00396ADF" w:rsidRDefault="00396ADF" w:rsidP="003E48F1">
            <w:pPr>
              <w:jc w:val="center"/>
            </w:pPr>
            <w:r>
              <w:rPr>
                <w:sz w:val="15"/>
                <w:szCs w:val="15"/>
              </w:rPr>
              <w:t>Prioritize — damaging + rare AF + phenotype match</w:t>
            </w:r>
          </w:p>
        </w:tc>
      </w:tr>
      <w:tr w:rsidR="00396ADF" w14:paraId="590ECE93" w14:textId="77777777" w:rsidTr="00396ADF">
        <w:trPr>
          <w:trHeight w:val="439"/>
        </w:trPr>
        <w:tc>
          <w:tcPr>
            <w:tcW w:w="973" w:type="dxa"/>
            <w:vAlign w:val="center"/>
          </w:tcPr>
          <w:p w14:paraId="665A70CC" w14:textId="77777777" w:rsidR="00396ADF" w:rsidRPr="004F6031" w:rsidRDefault="00396ADF" w:rsidP="003E48F1">
            <w:pPr>
              <w:jc w:val="center"/>
              <w:rPr>
                <w:i/>
                <w:iCs/>
              </w:rPr>
            </w:pPr>
            <w:r w:rsidRPr="004F6031">
              <w:rPr>
                <w:i/>
                <w:iCs/>
                <w:sz w:val="15"/>
                <w:szCs w:val="15"/>
              </w:rPr>
              <w:t>VSTM2L</w:t>
            </w:r>
          </w:p>
        </w:tc>
        <w:tc>
          <w:tcPr>
            <w:tcW w:w="2350" w:type="dxa"/>
            <w:vAlign w:val="center"/>
          </w:tcPr>
          <w:p w14:paraId="36A6276A" w14:textId="77777777" w:rsidR="00396ADF" w:rsidRDefault="00396ADF" w:rsidP="003E48F1">
            <w:pPr>
              <w:jc w:val="center"/>
            </w:pPr>
            <w:r>
              <w:rPr>
                <w:sz w:val="15"/>
                <w:szCs w:val="15"/>
              </w:rPr>
              <w:t>c.C275T (p.A92V)</w:t>
            </w:r>
          </w:p>
          <w:p w14:paraId="1F42D72A" w14:textId="77777777" w:rsidR="00396ADF" w:rsidRDefault="00396ADF" w:rsidP="003E48F1">
            <w:pPr>
              <w:jc w:val="center"/>
            </w:pPr>
            <w:r>
              <w:rPr>
                <w:sz w:val="15"/>
                <w:szCs w:val="15"/>
              </w:rPr>
              <w:t>Homozygous — Nonsyn. SNV</w:t>
            </w:r>
          </w:p>
        </w:tc>
        <w:tc>
          <w:tcPr>
            <w:tcW w:w="1403" w:type="dxa"/>
            <w:vAlign w:val="center"/>
          </w:tcPr>
          <w:p w14:paraId="62452EF0" w14:textId="7183E0AC" w:rsidR="00396ADF" w:rsidRDefault="00396ADF" w:rsidP="003E48F1">
            <w:pPr>
              <w:jc w:val="center"/>
            </w:pPr>
            <w:r>
              <w:rPr>
                <w:sz w:val="15"/>
                <w:szCs w:val="15"/>
              </w:rPr>
              <w:t>T (0.269) / B (0.355)</w:t>
            </w:r>
          </w:p>
        </w:tc>
        <w:tc>
          <w:tcPr>
            <w:tcW w:w="1350" w:type="dxa"/>
            <w:vAlign w:val="center"/>
          </w:tcPr>
          <w:p w14:paraId="13268E5F" w14:textId="77777777" w:rsidR="00396ADF" w:rsidRDefault="00396ADF" w:rsidP="003E48F1">
            <w:pPr>
              <w:jc w:val="center"/>
            </w:pPr>
            <w:r>
              <w:rPr>
                <w:sz w:val="15"/>
                <w:szCs w:val="15"/>
              </w:rPr>
              <w:t>~0.011 / 0.007</w:t>
            </w:r>
          </w:p>
        </w:tc>
        <w:tc>
          <w:tcPr>
            <w:tcW w:w="1227" w:type="dxa"/>
            <w:vAlign w:val="center"/>
          </w:tcPr>
          <w:p w14:paraId="49309C8A" w14:textId="77777777" w:rsidR="00396ADF" w:rsidRDefault="00396ADF" w:rsidP="003E48F1">
            <w:pPr>
              <w:jc w:val="center"/>
            </w:pPr>
            <w:r>
              <w:rPr>
                <w:sz w:val="15"/>
                <w:szCs w:val="15"/>
              </w:rPr>
              <w:t>VUS</w:t>
            </w:r>
          </w:p>
        </w:tc>
        <w:tc>
          <w:tcPr>
            <w:tcW w:w="815" w:type="dxa"/>
            <w:vAlign w:val="center"/>
          </w:tcPr>
          <w:p w14:paraId="02A2B55E" w14:textId="133C1D0B" w:rsidR="00396ADF" w:rsidRDefault="00396ADF" w:rsidP="003E48F1">
            <w:pPr>
              <w:jc w:val="center"/>
              <w:rPr>
                <w:sz w:val="15"/>
                <w:szCs w:val="15"/>
              </w:rPr>
            </w:pPr>
            <w:r>
              <w:rPr>
                <w:sz w:val="15"/>
                <w:szCs w:val="15"/>
              </w:rPr>
              <w:t>—</w:t>
            </w:r>
          </w:p>
        </w:tc>
        <w:tc>
          <w:tcPr>
            <w:tcW w:w="3588" w:type="dxa"/>
            <w:vAlign w:val="center"/>
          </w:tcPr>
          <w:p w14:paraId="68F245A7" w14:textId="1826F0AA" w:rsidR="00396ADF" w:rsidRDefault="00396ADF" w:rsidP="003E48F1">
            <w:pPr>
              <w:jc w:val="center"/>
            </w:pPr>
            <w:r>
              <w:rPr>
                <w:sz w:val="15"/>
                <w:szCs w:val="15"/>
              </w:rPr>
              <w:t>No established OMIM disease association</w:t>
            </w:r>
          </w:p>
        </w:tc>
        <w:tc>
          <w:tcPr>
            <w:tcW w:w="3184" w:type="dxa"/>
            <w:vAlign w:val="center"/>
          </w:tcPr>
          <w:p w14:paraId="31670A9C" w14:textId="77777777" w:rsidR="00396ADF" w:rsidRDefault="00396ADF" w:rsidP="003E48F1">
            <w:pPr>
              <w:jc w:val="center"/>
            </w:pPr>
            <w:r>
              <w:rPr>
                <w:sz w:val="15"/>
                <w:szCs w:val="15"/>
              </w:rPr>
              <w:t>Deprioritize — common + tolerated/benign</w:t>
            </w:r>
          </w:p>
        </w:tc>
      </w:tr>
      <w:tr w:rsidR="00396ADF" w14:paraId="7681F807" w14:textId="77777777" w:rsidTr="00396ADF">
        <w:trPr>
          <w:trHeight w:val="1131"/>
        </w:trPr>
        <w:tc>
          <w:tcPr>
            <w:tcW w:w="973" w:type="dxa"/>
            <w:vAlign w:val="center"/>
          </w:tcPr>
          <w:p w14:paraId="2817B751" w14:textId="77777777" w:rsidR="00396ADF" w:rsidRPr="004F6031" w:rsidRDefault="00396ADF" w:rsidP="003E48F1">
            <w:pPr>
              <w:jc w:val="center"/>
              <w:rPr>
                <w:i/>
                <w:iCs/>
              </w:rPr>
            </w:pPr>
            <w:r w:rsidRPr="004F6031">
              <w:rPr>
                <w:i/>
                <w:iCs/>
                <w:sz w:val="15"/>
                <w:szCs w:val="15"/>
              </w:rPr>
              <w:t>AUTS2</w:t>
            </w:r>
          </w:p>
        </w:tc>
        <w:tc>
          <w:tcPr>
            <w:tcW w:w="2350" w:type="dxa"/>
            <w:vAlign w:val="center"/>
          </w:tcPr>
          <w:p w14:paraId="30E07711" w14:textId="77777777" w:rsidR="00396ADF" w:rsidRDefault="00396ADF" w:rsidP="003E48F1">
            <w:pPr>
              <w:jc w:val="center"/>
            </w:pPr>
            <w:r>
              <w:rPr>
                <w:sz w:val="15"/>
                <w:szCs w:val="15"/>
              </w:rPr>
              <w:t>c.3302_3303insCCA (</w:t>
            </w:r>
            <w:proofErr w:type="gramStart"/>
            <w:r>
              <w:rPr>
                <w:sz w:val="15"/>
                <w:szCs w:val="15"/>
              </w:rPr>
              <w:t>p.S</w:t>
            </w:r>
            <w:proofErr w:type="gramEnd"/>
            <w:r>
              <w:rPr>
                <w:sz w:val="15"/>
                <w:szCs w:val="15"/>
              </w:rPr>
              <w:t>1101delinsSH)</w:t>
            </w:r>
          </w:p>
          <w:p w14:paraId="2E449C72" w14:textId="77777777" w:rsidR="00396ADF" w:rsidRDefault="00396ADF" w:rsidP="003E48F1">
            <w:pPr>
              <w:jc w:val="center"/>
            </w:pPr>
            <w:r>
              <w:rPr>
                <w:sz w:val="15"/>
                <w:szCs w:val="15"/>
              </w:rPr>
              <w:t>Homozygous — In-frame ins.</w:t>
            </w:r>
          </w:p>
        </w:tc>
        <w:tc>
          <w:tcPr>
            <w:tcW w:w="1403" w:type="dxa"/>
            <w:vAlign w:val="center"/>
          </w:tcPr>
          <w:p w14:paraId="19329004" w14:textId="576C3599" w:rsidR="00396ADF" w:rsidRDefault="00396ADF" w:rsidP="003E48F1">
            <w:pPr>
              <w:jc w:val="center"/>
            </w:pPr>
            <w:r>
              <w:rPr>
                <w:sz w:val="15"/>
                <w:szCs w:val="15"/>
              </w:rPr>
              <w:t>—</w:t>
            </w:r>
          </w:p>
        </w:tc>
        <w:tc>
          <w:tcPr>
            <w:tcW w:w="1350" w:type="dxa"/>
            <w:vAlign w:val="center"/>
          </w:tcPr>
          <w:p w14:paraId="43CBB1AF" w14:textId="77777777" w:rsidR="00396ADF" w:rsidRDefault="00396ADF" w:rsidP="003E48F1">
            <w:pPr>
              <w:jc w:val="center"/>
            </w:pPr>
            <w:r>
              <w:rPr>
                <w:sz w:val="15"/>
                <w:szCs w:val="15"/>
              </w:rPr>
              <w:t>~0.0072 / 0.0098</w:t>
            </w:r>
          </w:p>
        </w:tc>
        <w:tc>
          <w:tcPr>
            <w:tcW w:w="1227" w:type="dxa"/>
            <w:vAlign w:val="center"/>
          </w:tcPr>
          <w:p w14:paraId="786C644E" w14:textId="77777777" w:rsidR="00396ADF" w:rsidRDefault="00396ADF" w:rsidP="003E48F1">
            <w:pPr>
              <w:jc w:val="center"/>
            </w:pPr>
            <w:r>
              <w:rPr>
                <w:sz w:val="15"/>
                <w:szCs w:val="15"/>
              </w:rPr>
              <w:t>VUS</w:t>
            </w:r>
          </w:p>
        </w:tc>
        <w:tc>
          <w:tcPr>
            <w:tcW w:w="815" w:type="dxa"/>
            <w:vAlign w:val="center"/>
          </w:tcPr>
          <w:p w14:paraId="29115992" w14:textId="0432F1D6" w:rsidR="00396ADF" w:rsidRDefault="00396ADF" w:rsidP="003E48F1">
            <w:pPr>
              <w:jc w:val="center"/>
              <w:rPr>
                <w:sz w:val="15"/>
                <w:szCs w:val="15"/>
              </w:rPr>
            </w:pPr>
            <w:r>
              <w:rPr>
                <w:sz w:val="15"/>
                <w:szCs w:val="15"/>
              </w:rPr>
              <w:t>AD*</w:t>
            </w:r>
          </w:p>
        </w:tc>
        <w:tc>
          <w:tcPr>
            <w:tcW w:w="3588" w:type="dxa"/>
            <w:vAlign w:val="center"/>
          </w:tcPr>
          <w:p w14:paraId="71510D74" w14:textId="691110B5" w:rsidR="00396ADF" w:rsidRDefault="00396ADF" w:rsidP="003E48F1">
            <w:pPr>
              <w:jc w:val="center"/>
            </w:pPr>
            <w:r>
              <w:rPr>
                <w:sz w:val="15"/>
                <w:szCs w:val="15"/>
              </w:rPr>
              <w:t>AUTS2 syndrome is classically autosomal DOMINANT (de novo heterozygous). Phenotype overlaps (autism, DD) but homozygosity conflicts with known mechanism.</w:t>
            </w:r>
          </w:p>
        </w:tc>
        <w:tc>
          <w:tcPr>
            <w:tcW w:w="3184" w:type="dxa"/>
            <w:vAlign w:val="center"/>
          </w:tcPr>
          <w:p w14:paraId="4D7E0490" w14:textId="77777777" w:rsidR="00396ADF" w:rsidRDefault="00396ADF" w:rsidP="003E48F1">
            <w:pPr>
              <w:jc w:val="center"/>
            </w:pPr>
            <w:r>
              <w:rPr>
                <w:sz w:val="15"/>
                <w:szCs w:val="15"/>
              </w:rPr>
              <w:t>Deprioritize/review — mechanism mismatch + relatively high AF</w:t>
            </w:r>
          </w:p>
        </w:tc>
      </w:tr>
      <w:tr w:rsidR="00396ADF" w14:paraId="25A73E8B" w14:textId="77777777" w:rsidTr="00396ADF">
        <w:trPr>
          <w:trHeight w:val="454"/>
        </w:trPr>
        <w:tc>
          <w:tcPr>
            <w:tcW w:w="973" w:type="dxa"/>
            <w:vAlign w:val="center"/>
          </w:tcPr>
          <w:p w14:paraId="73151E13" w14:textId="77777777" w:rsidR="00396ADF" w:rsidRPr="004F6031" w:rsidRDefault="00396ADF" w:rsidP="003E48F1">
            <w:pPr>
              <w:jc w:val="center"/>
              <w:rPr>
                <w:b/>
                <w:bCs/>
                <w:i/>
                <w:iCs/>
                <w:u w:val="single"/>
              </w:rPr>
            </w:pPr>
            <w:r w:rsidRPr="004F6031">
              <w:rPr>
                <w:b/>
                <w:bCs/>
                <w:i/>
                <w:iCs/>
                <w:sz w:val="15"/>
                <w:szCs w:val="15"/>
                <w:highlight w:val="yellow"/>
                <w:u w:val="single"/>
              </w:rPr>
              <w:t>KDM7A</w:t>
            </w:r>
          </w:p>
        </w:tc>
        <w:tc>
          <w:tcPr>
            <w:tcW w:w="2350" w:type="dxa"/>
            <w:vAlign w:val="center"/>
          </w:tcPr>
          <w:p w14:paraId="0C2FB0B9" w14:textId="77777777" w:rsidR="00396ADF" w:rsidRDefault="00396ADF" w:rsidP="003E48F1">
            <w:pPr>
              <w:jc w:val="center"/>
            </w:pPr>
            <w:r>
              <w:rPr>
                <w:sz w:val="15"/>
                <w:szCs w:val="15"/>
              </w:rPr>
              <w:t>c.C2690T (p.P897L)</w:t>
            </w:r>
          </w:p>
          <w:p w14:paraId="1C9B5963" w14:textId="77777777" w:rsidR="00396ADF" w:rsidRDefault="00396ADF" w:rsidP="003E48F1">
            <w:pPr>
              <w:jc w:val="center"/>
            </w:pPr>
            <w:r>
              <w:rPr>
                <w:sz w:val="15"/>
                <w:szCs w:val="15"/>
              </w:rPr>
              <w:t>Homozygous — Nonsyn. SNV</w:t>
            </w:r>
          </w:p>
        </w:tc>
        <w:tc>
          <w:tcPr>
            <w:tcW w:w="1403" w:type="dxa"/>
            <w:vAlign w:val="center"/>
          </w:tcPr>
          <w:p w14:paraId="0EC0FCF1" w14:textId="578C369D" w:rsidR="00396ADF" w:rsidRDefault="00396ADF" w:rsidP="003E48F1">
            <w:pPr>
              <w:jc w:val="center"/>
            </w:pPr>
            <w:r>
              <w:rPr>
                <w:sz w:val="15"/>
                <w:szCs w:val="15"/>
              </w:rPr>
              <w:t>D (0.013) / B (0.018)</w:t>
            </w:r>
          </w:p>
        </w:tc>
        <w:tc>
          <w:tcPr>
            <w:tcW w:w="1350" w:type="dxa"/>
            <w:vAlign w:val="center"/>
          </w:tcPr>
          <w:p w14:paraId="1CB45217" w14:textId="77777777" w:rsidR="00396ADF" w:rsidRDefault="00396ADF" w:rsidP="003E48F1">
            <w:pPr>
              <w:jc w:val="center"/>
            </w:pPr>
            <w:r>
              <w:rPr>
                <w:sz w:val="15"/>
                <w:szCs w:val="15"/>
              </w:rPr>
              <w:t>~0.002 / 0.0042</w:t>
            </w:r>
          </w:p>
        </w:tc>
        <w:tc>
          <w:tcPr>
            <w:tcW w:w="1227" w:type="dxa"/>
            <w:vAlign w:val="center"/>
          </w:tcPr>
          <w:p w14:paraId="4CBDFA19" w14:textId="77777777" w:rsidR="00396ADF" w:rsidRDefault="00396ADF" w:rsidP="003E48F1">
            <w:pPr>
              <w:jc w:val="center"/>
            </w:pPr>
            <w:r>
              <w:rPr>
                <w:sz w:val="15"/>
                <w:szCs w:val="15"/>
              </w:rPr>
              <w:t>VUS</w:t>
            </w:r>
          </w:p>
        </w:tc>
        <w:tc>
          <w:tcPr>
            <w:tcW w:w="815" w:type="dxa"/>
            <w:vAlign w:val="center"/>
          </w:tcPr>
          <w:p w14:paraId="0F12E693" w14:textId="3174531E" w:rsidR="00396ADF" w:rsidRDefault="00396ADF" w:rsidP="003E48F1">
            <w:pPr>
              <w:jc w:val="center"/>
              <w:rPr>
                <w:sz w:val="15"/>
                <w:szCs w:val="15"/>
              </w:rPr>
            </w:pPr>
            <w:r>
              <w:rPr>
                <w:sz w:val="15"/>
                <w:szCs w:val="15"/>
              </w:rPr>
              <w:t>—</w:t>
            </w:r>
          </w:p>
        </w:tc>
        <w:tc>
          <w:tcPr>
            <w:tcW w:w="3588" w:type="dxa"/>
            <w:vAlign w:val="center"/>
          </w:tcPr>
          <w:p w14:paraId="2F305E56" w14:textId="71F3B9EF" w:rsidR="00396ADF" w:rsidRDefault="00396ADF" w:rsidP="003E48F1">
            <w:pPr>
              <w:jc w:val="center"/>
            </w:pPr>
            <w:r>
              <w:rPr>
                <w:sz w:val="15"/>
                <w:szCs w:val="15"/>
              </w:rPr>
              <w:t>Not a confirmed OMIM disease gene; some role in neural differentiation</w:t>
            </w:r>
          </w:p>
        </w:tc>
        <w:tc>
          <w:tcPr>
            <w:tcW w:w="3184" w:type="dxa"/>
            <w:vAlign w:val="center"/>
          </w:tcPr>
          <w:p w14:paraId="6D9FC721" w14:textId="77777777" w:rsidR="00396ADF" w:rsidRDefault="00396ADF" w:rsidP="003E48F1">
            <w:pPr>
              <w:jc w:val="center"/>
            </w:pPr>
            <w:r>
              <w:rPr>
                <w:sz w:val="15"/>
                <w:szCs w:val="15"/>
              </w:rPr>
              <w:t>Review — mixed predictions + AF not extremely rare</w:t>
            </w:r>
          </w:p>
        </w:tc>
      </w:tr>
      <w:tr w:rsidR="00396ADF" w14:paraId="6D14EF9F" w14:textId="77777777" w:rsidTr="00396ADF">
        <w:trPr>
          <w:trHeight w:val="659"/>
        </w:trPr>
        <w:tc>
          <w:tcPr>
            <w:tcW w:w="973" w:type="dxa"/>
            <w:vAlign w:val="center"/>
          </w:tcPr>
          <w:p w14:paraId="1C171039" w14:textId="77777777" w:rsidR="00396ADF" w:rsidRPr="004F6031" w:rsidRDefault="00396ADF" w:rsidP="003E48F1">
            <w:pPr>
              <w:jc w:val="center"/>
              <w:rPr>
                <w:b/>
                <w:bCs/>
                <w:i/>
                <w:iCs/>
                <w:u w:val="single"/>
              </w:rPr>
            </w:pPr>
            <w:r w:rsidRPr="004F6031">
              <w:rPr>
                <w:b/>
                <w:bCs/>
                <w:i/>
                <w:iCs/>
                <w:sz w:val="15"/>
                <w:szCs w:val="15"/>
                <w:highlight w:val="yellow"/>
                <w:u w:val="single"/>
              </w:rPr>
              <w:t>PUM3</w:t>
            </w:r>
          </w:p>
        </w:tc>
        <w:tc>
          <w:tcPr>
            <w:tcW w:w="2350" w:type="dxa"/>
            <w:vAlign w:val="center"/>
          </w:tcPr>
          <w:p w14:paraId="3BD61740" w14:textId="77777777" w:rsidR="00396ADF" w:rsidRDefault="00396ADF" w:rsidP="003E48F1">
            <w:pPr>
              <w:jc w:val="center"/>
            </w:pPr>
            <w:r>
              <w:rPr>
                <w:sz w:val="15"/>
                <w:szCs w:val="15"/>
              </w:rPr>
              <w:t>c.T1350A (p.D450E)</w:t>
            </w:r>
          </w:p>
          <w:p w14:paraId="1F46C31A" w14:textId="77777777" w:rsidR="00396ADF" w:rsidRDefault="00396ADF" w:rsidP="003E48F1">
            <w:pPr>
              <w:jc w:val="center"/>
            </w:pPr>
            <w:r>
              <w:rPr>
                <w:sz w:val="15"/>
                <w:szCs w:val="15"/>
              </w:rPr>
              <w:t>Homozygous — Nonsyn. SNV</w:t>
            </w:r>
          </w:p>
        </w:tc>
        <w:tc>
          <w:tcPr>
            <w:tcW w:w="1403" w:type="dxa"/>
            <w:vAlign w:val="center"/>
          </w:tcPr>
          <w:p w14:paraId="78B76F8B" w14:textId="6AC19037" w:rsidR="00396ADF" w:rsidRDefault="00396ADF" w:rsidP="003E48F1">
            <w:pPr>
              <w:jc w:val="center"/>
            </w:pPr>
            <w:r>
              <w:rPr>
                <w:sz w:val="15"/>
                <w:szCs w:val="15"/>
              </w:rPr>
              <w:t>D (0.02) / D (0.966)</w:t>
            </w:r>
          </w:p>
        </w:tc>
        <w:tc>
          <w:tcPr>
            <w:tcW w:w="1350" w:type="dxa"/>
            <w:vAlign w:val="center"/>
          </w:tcPr>
          <w:p w14:paraId="303F230E" w14:textId="77777777" w:rsidR="00396ADF" w:rsidRDefault="00396ADF" w:rsidP="003E48F1">
            <w:pPr>
              <w:jc w:val="center"/>
            </w:pPr>
            <w:r>
              <w:rPr>
                <w:sz w:val="15"/>
                <w:szCs w:val="15"/>
              </w:rPr>
              <w:t>~0.0005 / 0.0004</w:t>
            </w:r>
          </w:p>
        </w:tc>
        <w:tc>
          <w:tcPr>
            <w:tcW w:w="1227" w:type="dxa"/>
            <w:vAlign w:val="center"/>
          </w:tcPr>
          <w:p w14:paraId="013097CC" w14:textId="77777777" w:rsidR="00396ADF" w:rsidRDefault="00396ADF" w:rsidP="003E48F1">
            <w:pPr>
              <w:jc w:val="center"/>
            </w:pPr>
            <w:r>
              <w:rPr>
                <w:sz w:val="15"/>
                <w:szCs w:val="15"/>
              </w:rPr>
              <w:t>VUS</w:t>
            </w:r>
          </w:p>
        </w:tc>
        <w:tc>
          <w:tcPr>
            <w:tcW w:w="815" w:type="dxa"/>
            <w:vAlign w:val="center"/>
          </w:tcPr>
          <w:p w14:paraId="021830E6" w14:textId="56A57E76" w:rsidR="00396ADF" w:rsidRDefault="00396ADF" w:rsidP="003E48F1">
            <w:pPr>
              <w:jc w:val="center"/>
              <w:rPr>
                <w:sz w:val="15"/>
                <w:szCs w:val="15"/>
              </w:rPr>
            </w:pPr>
            <w:r>
              <w:rPr>
                <w:sz w:val="15"/>
                <w:szCs w:val="15"/>
              </w:rPr>
              <w:t>—</w:t>
            </w:r>
          </w:p>
        </w:tc>
        <w:tc>
          <w:tcPr>
            <w:tcW w:w="3588" w:type="dxa"/>
            <w:vAlign w:val="center"/>
          </w:tcPr>
          <w:p w14:paraId="403C1A11" w14:textId="2A790404" w:rsidR="00396ADF" w:rsidRDefault="00396ADF" w:rsidP="003E48F1">
            <w:pPr>
              <w:jc w:val="center"/>
            </w:pPr>
            <w:r>
              <w:rPr>
                <w:sz w:val="15"/>
                <w:szCs w:val="15"/>
              </w:rPr>
              <w:t>Not yet an established OMIM disease gene; PUF-family RNA-binding protein, plausible neurodevelopmental role</w:t>
            </w:r>
          </w:p>
        </w:tc>
        <w:tc>
          <w:tcPr>
            <w:tcW w:w="3184" w:type="dxa"/>
            <w:vAlign w:val="center"/>
          </w:tcPr>
          <w:p w14:paraId="5CC0D76A" w14:textId="77777777" w:rsidR="00396ADF" w:rsidRDefault="00396ADF" w:rsidP="003E48F1">
            <w:pPr>
              <w:jc w:val="center"/>
            </w:pPr>
            <w:r>
              <w:rPr>
                <w:sz w:val="15"/>
                <w:szCs w:val="15"/>
              </w:rPr>
              <w:t>Prioritize — damaging + rare AF; candidate pending further evidence</w:t>
            </w:r>
          </w:p>
        </w:tc>
      </w:tr>
    </w:tbl>
    <w:p w14:paraId="5739991A" w14:textId="77777777" w:rsidR="00B718EF" w:rsidRDefault="00B718EF">
      <w:pPr>
        <w:rPr>
          <w:rtl/>
        </w:rPr>
      </w:pPr>
    </w:p>
    <w:p w14:paraId="11693659" w14:textId="77777777" w:rsidR="002D2246" w:rsidRDefault="002D2246">
      <w:pPr>
        <w:rPr>
          <w:rFonts w:hint="cs"/>
          <w:rtl/>
          <w:lang w:bidi="fa-IR"/>
        </w:rPr>
      </w:pPr>
    </w:p>
    <w:p w14:paraId="08BF12CB" w14:textId="77777777" w:rsidR="00E30DC5" w:rsidRDefault="00E30DC5"/>
    <w:p w14:paraId="3CD0FF92" w14:textId="77777777" w:rsidR="00E30DC5" w:rsidRDefault="00E30DC5"/>
    <w:p w14:paraId="68CC748D" w14:textId="77777777" w:rsidR="00E30DC5" w:rsidRDefault="00E30DC5">
      <w:pPr>
        <w:rPr>
          <w:rtl/>
        </w:rPr>
      </w:pPr>
    </w:p>
    <w:p w14:paraId="729EAB4F" w14:textId="77777777" w:rsidR="002D2246" w:rsidRDefault="002D2246">
      <w:pPr>
        <w:rPr>
          <w:rtl/>
        </w:rPr>
      </w:pPr>
    </w:p>
    <w:p w14:paraId="59D25BD7" w14:textId="77777777" w:rsidR="002D2246" w:rsidRPr="00970D7E" w:rsidRDefault="002D2246" w:rsidP="00BA79A9">
      <w:pPr>
        <w:jc w:val="both"/>
        <w:rPr>
          <w:b/>
          <w:bCs/>
          <w:rtl/>
        </w:rPr>
      </w:pPr>
    </w:p>
    <w:p w14:paraId="7473E0BB" w14:textId="5D487B5D" w:rsidR="002D2246" w:rsidRDefault="002D2246" w:rsidP="00BA79A9">
      <w:pPr>
        <w:jc w:val="both"/>
      </w:pPr>
      <w:r w:rsidRPr="00970D7E">
        <w:t>After filtering 13 variants,</w:t>
      </w:r>
      <w:r w:rsidR="001412F5">
        <w:t xml:space="preserve"> </w:t>
      </w:r>
      <w:r w:rsidR="00970D7E" w:rsidRPr="00970D7E">
        <w:t>four</w:t>
      </w:r>
      <w:r w:rsidRPr="00970D7E">
        <w:t xml:space="preserve"> candidate variants in</w:t>
      </w:r>
      <w:r w:rsidRPr="00970D7E">
        <w:rPr>
          <w:b/>
          <w:bCs/>
        </w:rPr>
        <w:t xml:space="preserve"> </w:t>
      </w:r>
      <w:r w:rsidR="00970D7E" w:rsidRPr="00970D7E">
        <w:rPr>
          <w:b/>
          <w:bCs/>
        </w:rPr>
        <w:t>YY1AP1</w:t>
      </w:r>
      <w:r w:rsidR="00970D7E">
        <w:rPr>
          <w:sz w:val="15"/>
          <w:szCs w:val="15"/>
        </w:rPr>
        <w:t xml:space="preserve">, </w:t>
      </w:r>
      <w:r w:rsidRPr="002D2246">
        <w:rPr>
          <w:b/>
          <w:bCs/>
        </w:rPr>
        <w:t xml:space="preserve">C2orf71, </w:t>
      </w:r>
      <w:r w:rsidRPr="00E02F34">
        <w:rPr>
          <w:b/>
          <w:bCs/>
        </w:rPr>
        <w:t>KDM7A</w:t>
      </w:r>
      <w:r w:rsidRPr="002D2246">
        <w:rPr>
          <w:b/>
          <w:bCs/>
        </w:rPr>
        <w:t>, and PUM3</w:t>
      </w:r>
      <w:r w:rsidRPr="002D2246">
        <w:t xml:space="preserve"> were selected based on their genotype and partial phenotypic concordance with the pedigree. These variants were further evaluated using population databases, disease and phenotype databases, ancestry-specific data, and relevant literature.</w:t>
      </w:r>
    </w:p>
    <w:p w14:paraId="33D7D284" w14:textId="77777777" w:rsidR="004F2302" w:rsidRPr="002D2246" w:rsidRDefault="004F2302" w:rsidP="00BA79A9">
      <w:pPr>
        <w:jc w:val="both"/>
      </w:pPr>
    </w:p>
    <w:p w14:paraId="45ACF9C7" w14:textId="6B8CD5EF" w:rsidR="001E623F" w:rsidRPr="001E623F" w:rsidRDefault="005F5A8F" w:rsidP="00BA79A9">
      <w:pPr>
        <w:jc w:val="both"/>
      </w:pPr>
      <w:r w:rsidRPr="005F5A8F">
        <w:rPr>
          <w:b/>
          <w:bCs/>
        </w:rPr>
        <w:t>YY1AP1</w:t>
      </w:r>
      <w:r>
        <w:rPr>
          <w:b/>
          <w:bCs/>
        </w:rPr>
        <w:t>:</w:t>
      </w:r>
      <w:r w:rsidR="001412F5">
        <w:rPr>
          <w:b/>
          <w:bCs/>
        </w:rPr>
        <w:t xml:space="preserve"> </w:t>
      </w:r>
      <w:r w:rsidR="001E623F" w:rsidRPr="001E623F">
        <w:rPr>
          <w:b/>
          <w:bCs/>
        </w:rPr>
        <w:t>YY1AP1</w:t>
      </w:r>
      <w:r w:rsidR="001E623F" w:rsidRPr="001E623F">
        <w:t xml:space="preserve"> is associated with </w:t>
      </w:r>
      <w:r w:rsidR="001E623F" w:rsidRPr="001E623F">
        <w:rPr>
          <w:b/>
          <w:bCs/>
        </w:rPr>
        <w:t>Grange syndrome</w:t>
      </w:r>
      <w:r w:rsidR="001E623F" w:rsidRPr="001E623F">
        <w:t xml:space="preserve">, a rare autosomal recessive disorder characterized primarily by progressive vascular disease, hypertension, skeletal abnormalities, and variable neurodevelopmental impairment </w:t>
      </w:r>
      <w:r w:rsidR="00AE57E1">
        <w:fldChar w:fldCharType="begin" w:fldLock="1"/>
      </w:r>
      <w:r w:rsidR="00AE57E1">
        <w:instrText>ADDIN CSL_CITATION {"citationItems":[{"id":"ITEM-1","itemData":{"DOI":"10.1038/S10038-026-01471-0","ISSN":"1435232X","PMID":"41882341","abstract":"Background: Grange syndrome is an ultra-rare autosomal recessive disorder caused by biallelic loss-of-function variants in the YY1AP1 gene. It is clinically characterized by multisystem involvement, including vascular stenosis, brachysyndactyly, osteopenia, cardiac anomalies, and neurodevelopmental delay. Methods: Our case was followed up in the Child and Adolescent Psychiatry clinic with the diagnosis of intellectual disability. Whole-exome sequencing (WES) was performed, and Sanger sequencing was used to confirm the identified variant and conduct familial segregation analysis. Results: We report a 17-year-old Turkish female who presented with academic failure, speech delay, dysarthria, facial dysmorphism, and surgically corrected hand syndactyly. Notably, she exhibited no clinical signs of vascular stenosis or hypertension at the time of diagnosis. A novel compound heterozygous variant combination in YY1AP1 (NM_139119.3) was identified: c.1489_1492del (p.Glu636ProfsTer13), previously reported as pathogenic, and c.1637_1638del (p.Pro546ArgfsTer26), a novel frameshift variant. These variants were maternally and paternally inherited, respectively. Conclusion: This is the first reported case of Grange syndrome diagnosed based on neurodevelopmental and dysmorphic findings before the onset of vascular or hypertensive symptoms. Our findings highlight the importance of considering YY1AP1-related pathology in the differential diagnosis of intellectual disability and syndactyly, even in the absence of vascular features. Early genetic diagnosis enables clinical surveillance for life-threatening complications associated with this syndrome.","author":[{"dropping-particle":"","family":"Unsel-Bolat","given":"Gul","non-dropping-particle":"","parse-names":false,"suffix":""},{"dropping-particle":"","family":"Tezcan","given":"Neslihan","non-dropping-particle":"","parse-names":false,"suffix":""},{"dropping-particle":"","family":"Genç-Akdağ","given":"Dilan","non-dropping-particle":"","parse-names":false,"suffix":""},{"dropping-particle":"","family":"Gerik-Celebi","given":"Hamide Betül","non-dropping-particle":"","parse-names":false,"suffix":""},{"dropping-particle":"","family":"Tezcan","given":"Alperen","non-dropping-particle":"","parse-names":false,"suffix":""},{"dropping-particle":"","family":"Bolat","given":"Hilmi","non-dropping-particle":"","parse-names":false,"suffix":""}],"container-title":"Journal of Human Genetics","id":"ITEM-1","issue":"8","issued":{"date-parts":[["2026","8","1"]]},"page":"485","publisher":"Springer Nature","title":"A novel compound heterozygous YY1AP1 1. Unsel-Bolat G, Tezcan N, Genç-Akdağ D, Gerik-Celebi HB, Tezcan A, Bolat H. A novel compound heterozygous YY1AP1 variant in Grange syndrome: importance of early signs in preventing life-threatening vascular complicat","type":"article-journal","volume":"71"},"uris":["http://www.mendeley.com/documents/?uuid=a9370261-291e-3294-a641-0ccc7f50285e"]}],"mendeley":{"formattedCitation":"(1)","plainTextFormattedCitation":"(1)","previouslyFormattedCitation":"(1)"},"properties":{"noteIndex":0},"schema":"https://github.com/citation-style-language/schema/raw/master/csl-citation.json"}</w:instrText>
      </w:r>
      <w:r w:rsidR="00AE57E1">
        <w:fldChar w:fldCharType="separate"/>
      </w:r>
      <w:r w:rsidR="00AE57E1" w:rsidRPr="00AE57E1">
        <w:rPr>
          <w:noProof/>
        </w:rPr>
        <w:t>(1)</w:t>
      </w:r>
      <w:r w:rsidR="00AE57E1">
        <w:fldChar w:fldCharType="end"/>
      </w:r>
      <w:r w:rsidR="00AE57E1">
        <w:fldChar w:fldCharType="begin" w:fldLock="1"/>
      </w:r>
      <w:r w:rsidR="00AE57E1">
        <w:instrText>ADDIN CSL_CITATION {"citationItems":[{"id":"ITEM-1","itemData":{"URL":"https://www.tandfonline.com/doi/10.1080/15548627.2023.2250217?url_ver=Z39.88-2003&amp;rfr_id=ori:rid:crossref.org&amp;rfr_dat=cr_pub  0pubmed#d1e202","accessed":{"date-parts":[["2026","9","7"]]},"id":"ITEM-1","issued":{"date-parts":[["0"]]},"title":"Full article: Epigenetic regulation of autophagy-related genes: Implications for neurodevelopmental disorders","type":"webpage"},"uris":["http://www.mendeley.com/documents/?uuid=3f894e00-fc41-3b20-8fe5-4493fa04a8c1"]}],"mendeley":{"formattedCitation":"(2)","plainTextFormattedCitation":"(2)","previouslyFormattedCitation":"(2)"},"properties":{"noteIndex":0},"schema":"https://github.com/citation-style-language/schema/raw/master/csl-citation.json"}</w:instrText>
      </w:r>
      <w:r w:rsidR="00AE57E1">
        <w:fldChar w:fldCharType="separate"/>
      </w:r>
      <w:r w:rsidR="00AE57E1" w:rsidRPr="00AE57E1">
        <w:rPr>
          <w:noProof/>
        </w:rPr>
        <w:t>(2)</w:t>
      </w:r>
      <w:r w:rsidR="00AE57E1">
        <w:fldChar w:fldCharType="end"/>
      </w:r>
      <w:r w:rsidR="001E623F" w:rsidRPr="001E623F">
        <w:t xml:space="preserve">. A rare homozygous YY1AP1 variant with an extremely low frequency in gnomAD was identified in the affected individual. Developmental delay/intellectual impairment and speech difficulties provide partial phenotypic overlap, although microcephaly, visual impairment, and cleft palate are not established core features, and characteristic vascular and skeletal manifestations have not been observed. Importantly, vascular abnormalities may not be clinically detectable at younger ages and can develop later, so their absence does not exclude YY1AP1-related disease </w:t>
      </w:r>
      <w:r w:rsidR="00AE57E1">
        <w:fldChar w:fldCharType="begin" w:fldLock="1"/>
      </w:r>
      <w:r w:rsidR="00AE57E1">
        <w:instrText>ADDIN CSL_CITATION {"citationItems":[{"id":"ITEM-1","itemData":{"URL":"https://www.tandfonline.com/doi/10.1080/15548627.2023.2250217?url_ver=Z39.88-2003&amp;rfr_id=ori:rid:crossref.org&amp;rfr_dat=cr_pub  0pubmed#d1e202","accessed":{"date-parts":[["2026","9","7"]]},"id":"ITEM-1","issued":{"date-parts":[["0"]]},"title":"Full article: Epigenetic regulation of autophagy-related genes: Implications for neurodevelopmental disorders","type":"webpage"},"uris":["http://www.mendeley.com/documents/?uuid=3f894e00-fc41-3b20-8fe5-4493fa04a8c1"]}],"mendeley":{"formattedCitation":"(2)","plainTextFormattedCitation":"(2)","previouslyFormattedCitation":"(2)"},"properties":{"noteIndex":0},"schema":"https://github.com/citation-style-language/schema/raw/master/csl-citation.json"}</w:instrText>
      </w:r>
      <w:r w:rsidR="00AE57E1">
        <w:fldChar w:fldCharType="separate"/>
      </w:r>
      <w:r w:rsidR="00AE57E1" w:rsidRPr="00AE57E1">
        <w:rPr>
          <w:noProof/>
        </w:rPr>
        <w:t>(2)</w:t>
      </w:r>
      <w:r w:rsidR="00AE57E1">
        <w:fldChar w:fldCharType="end"/>
      </w:r>
      <w:r w:rsidR="001E623F" w:rsidRPr="001E623F">
        <w:t>. Overall, YY1AP1 remains a plausible candidate but requires cautious interpretation because of the incomplete phenotypic concordance.</w:t>
      </w:r>
    </w:p>
    <w:p w14:paraId="07B14DAE" w14:textId="77777777" w:rsidR="004F2302" w:rsidRDefault="004F2302" w:rsidP="00BA79A9">
      <w:pPr>
        <w:jc w:val="both"/>
      </w:pPr>
    </w:p>
    <w:p w14:paraId="1B3425AF" w14:textId="0D86703E" w:rsidR="004F2302" w:rsidRDefault="001412F5" w:rsidP="00AE57E1">
      <w:pPr>
        <w:jc w:val="both"/>
      </w:pPr>
      <w:r w:rsidRPr="001412F5">
        <w:rPr>
          <w:b/>
          <w:bCs/>
        </w:rPr>
        <w:t>C2orf71:</w:t>
      </w:r>
      <w:r w:rsidRPr="001412F5">
        <w:t xml:space="preserve"> A rare homozygous missense variant (rs201790782; p. Val731Ile) was identified, with very low population frequency and supportive in-silico evidence for a potentially damaging effect</w:t>
      </w:r>
      <w:r w:rsidR="00AE57E1">
        <w:t xml:space="preserve"> </w:t>
      </w:r>
      <w:r w:rsidR="00AE57E1">
        <w:fldChar w:fldCharType="begin" w:fldLock="1"/>
      </w:r>
      <w:r w:rsidR="00AE57E1">
        <w:instrText>ADDIN CSL_CITATION {"citationItems":[{"id":"ITEM-1","itemData":{"DOI":"10.1016/j.ajhg.2010.03.016","ISSN":"00029297","PMID":"20398884","abstract":"With a worldwide prevalence of 1 in 4,000, retinitis pigmentosa (RP) is the most common form of hereditary retinal degeneration. More than 30 genes and loci have been implicated in nonsyndromic autosomal-recessive (ar) RP. Genome-wide homozygosity mapping was conducted in one Dutch and one Israeli family affected by arRP. The families were found to share a 5.9 Mb homozygous region on chromosome 2p23.1-p23.3. A missense variant in one of the genes residing in this interval, C2ORF71, has recently been reported to be associated with RP. C2ORF71, encoding a putative protein of 1,288 amino acids, was found to be specifically expressed in human retina. Furthermore, RT-PCR analysis revealed that in the mouse eye, C2orf71 is expressed as early as embryonic day 14. Mutation analysis detected a 1 bp deletion (c.946 del; p.Asn237MetfsX5) segregating with RP in the Dutch family, whereas a nonsense mutation (c.556C &gt; T; p.Gln186X) was identified in the Israeli family. Microsatellite-marker analysis in additional Israeli families revealed cosegregation of a C2ORF71-linked haplotype in one other family, in which a 13 bp deletion (c.2756_2768 del; p.Lys919ThrfsX) was identified. Clinically, patients with mutations in C2ORF71 show signs of typical RP; these signs include poor night vision and peripheral field loss, typical retinal bone-spicule-type pigment deposits, pale appearance of the optic disk, and markedly reduced or completely extinguished electroretinograms. In conclusion, truncating mutations in C2ORF71 were identified in three unrelated families, thereby confirming the involvement of this gene in the etiology of arRP. © 2010 The American Society of Human Genetics.","author":[{"dropping-particle":"","family":"Collin","given":"Rob W.J.","non-dropping-particle":"","parse-names":false,"suffix":""},{"dropping-particle":"","family":"Safieh","given":"Christine","non-dropping-particle":"","parse-names":false,"suffix":""},{"dropping-particle":"","family":"Littink","given":"Karin W.","non-dropping-particle":"","parse-names":false,"suffix":""},{"dropping-particle":"","family":"Shalev","given":"Stavit A.","non-dropping-particle":"","parse-names":false,"suffix":""},{"dropping-particle":"","family":"Garzozi","given":"Hanna J.","non-dropping-particle":"","parse-names":false,"suffix":""},{"dropping-particle":"","family":"Rizel","given":"Leah","non-dropping-particle":"","parse-names":false,"suffix":""},{"dropping-particle":"","family":"Abbasi","given":"Anan H.","non-dropping-particle":"","parse-names":false,"suffix":""},{"dropping-particle":"","family":"Cremers","given":"Frans P.M.","non-dropping-particle":"","parse-names":false,"suffix":""},{"dropping-particle":"","family":"Hollander","given":"Anneke I.","non-dropping-particle":"den","parse-names":false,"suffix":""},{"dropping-particle":"","family":"Klevering","given":"B. Jeroen","non-dropping-particle":"","parse-names":false,"suffix":""},{"dropping-particle":"","family":"Ben-Yosef","given":"Tamar","non-dropping-particle":"","parse-names":false,"suffix":""}],"container-title":"American Journal of Human Genetics","id":"ITEM-1","issue":"5","issued":{"date-parts":[["2010","5","14"]]},"page":"783-788","publisher":"Am J Hum Genet","title":"Mutations in C2ORF71 Cause Autosomal-Recessive Retinitis Pigmentosa","type":"article-journal","volume":"86"},"uris":["http://www.mendeley.com/documents/?uuid=c97dd897-cb8e-376f-b664-83481e12a958"]}],"mendeley":{"formattedCitation":"(3)","plainTextFormattedCitation":"(3)","previouslyFormattedCitation":"(3)"},"properties":{"noteIndex":0},"schema":"https://github.com/citation-style-language/schema/raw/master/csl-citation.json"}</w:instrText>
      </w:r>
      <w:r w:rsidR="00AE57E1">
        <w:fldChar w:fldCharType="separate"/>
      </w:r>
      <w:r w:rsidR="00AE57E1" w:rsidRPr="00AE57E1">
        <w:rPr>
          <w:noProof/>
        </w:rPr>
        <w:t>(3)</w:t>
      </w:r>
      <w:r w:rsidR="00AE57E1">
        <w:fldChar w:fldCharType="end"/>
      </w:r>
      <w:r w:rsidRPr="001412F5">
        <w:t xml:space="preserve">. The individual's </w:t>
      </w:r>
      <w:r w:rsidRPr="001412F5">
        <w:rPr>
          <w:b/>
          <w:bCs/>
        </w:rPr>
        <w:t>visual impairment</w:t>
      </w:r>
      <w:r w:rsidRPr="001412F5">
        <w:t xml:space="preserve"> is consistent with the reported phenotype of biallelic C2orf71/PCARE-related retinal disease, although the variant does not explain the full clinical phenotype</w:t>
      </w:r>
      <w:r w:rsidR="00AE57E1">
        <w:t xml:space="preserve"> </w:t>
      </w:r>
      <w:r w:rsidR="00AE57E1">
        <w:fldChar w:fldCharType="begin" w:fldLock="1"/>
      </w:r>
      <w:r w:rsidR="00AE57E1">
        <w:instrText>ADDIN CSL_CITATION {"citationItems":[{"id":"ITEM-1","itemData":{"DOI":"10.3390/DIAGNOSTICS16131945","ISSN":"2075-4418","PMID":"42449727","abstract":"Background and Clinical Significance: Biallelic pathogenic variants in the PCARE gene (photoreceptor cilium actin regulator), also known as C2orf71 (chromosome 2 open reading frame 71), are typically associated with retinitis pigmentosa type 54 (RP54) and, less frequently, with cone–rod dystrophy (CORD23). Case Presentation: A 52-year-old man presented with an eight-year history of progressive visual loss, without photophobia or nyctalopia. He underwent a comprehensive ophthalmological evaluation, including multimodal retinal imaging, automated perimetry, and full electrophysiological testing, in accordance with International Society for Clinical Electrophysiology of Vision (ISCEV)’s standards. Genetic testing was performed using next-generation sequencing (NGS) with an inherited retinal dystrophy gene panel, and findings were confirmed by Sanger sequencing. Clinical examination revealed bilateral macular atrophy with minimal foveal sparing and a central scotoma. Optical coherence tomography (OCT) showed disruption of the outer retinal layers and retinal pigment epithelium (RPE) abnormalities. Fundus autofluorescence (FAF) demonstrated central hypoautofluorescence surrounded by a hyperautofluorescent ring. Electrophysiological testing revealed severely reduced rod- and cone- mediated responses on full-field electroretinography (ERG), absent pattern ERG responses, and markedly reduced multifocal ERG responses, indicating widespread retinal dysfunction with significant macular involvement. Genetic analysis identified a homozygous pathogenic nonsense variant in PCARE [c.3289C&gt;T; p.(Gln1097*)], confirming the diagnosis of an autosomal recessive inherited retinal dystrophy. Conclusions: Biallelic PCARE variants can cause late-onset severe retinal dystrophy, with predominant macular involvement and cone–rod dysfunction. Given its phenotypic overlap with other inherited retinal diseases, accurate diagnosis requires the integration of multimodal retinal imaging, electrophysiological testing, and comprehensive genetic analysis.","author":[{"dropping-particle":"","family":"Sopena-Pinilla","given":"Maria","non-dropping-particle":"","parse-names":false,"suffix":""},{"dropping-particle":"","family":"Arruebo-Muñio","given":"Maria","non-dropping-particle":"","parse-names":false,"suffix":""},{"dropping-particle":"","family":"Arias-Alvarez","given":"Marta","non-dropping-particle":"","parse-names":false,"suffix":""},{"dropping-particle":"","family":"Arcas-Carbonell","given":"Maria","non-dropping-particle":"","parse-names":false,"suffix":""},{"dropping-particle":"","family":"Tejada-González","given":"Pablo","non-dropping-particle":"","parse-names":false,"suffix":""},{"dropping-particle":"","family":"Lahuerta-Pueyo","given":"Carmen","non-dropping-particle":"","parse-names":false,"suffix":""},{"dropping-particle":"","family":"Pérez García","given":"Diana","non-dropping-particle":"","parse-names":false,"suffix":""},{"dropping-particle":"","family":"Pinilla","given":"Isabel","non-dropping-particle":"","parse-names":false,"suffix":""}],"container-title":"Diagnostics (Basel, Switzerland)","id":"ITEM-1","issue":"13","issued":{"date-parts":[["2026","6","23"]]},"page":"1945","publisher":"Diagnostics (Basel)","title":"Cone-Rod Dystrophy PCARE-Associated Retinopathy","type":"article-journal","volume":"16"},"uris":["http://www.mendeley.com/documents/?uuid=5bd06abc-ad39-3fae-bc41-6c8607f93002"]}],"mendeley":{"formattedCitation":"(4)","plainTextFormattedCitation":"(4)","previouslyFormattedCitation":"(4)"},"properties":{"noteIndex":0},"schema":"https://github.com/citation-style-language/schema/raw/master/csl-citation.json"}</w:instrText>
      </w:r>
      <w:r w:rsidR="00AE57E1">
        <w:fldChar w:fldCharType="separate"/>
      </w:r>
      <w:r w:rsidR="00AE57E1" w:rsidRPr="00AE57E1">
        <w:rPr>
          <w:noProof/>
        </w:rPr>
        <w:t>(4)</w:t>
      </w:r>
      <w:r w:rsidR="00AE57E1">
        <w:fldChar w:fldCharType="end"/>
      </w:r>
      <w:r w:rsidR="00AE57E1">
        <w:fldChar w:fldCharType="begin" w:fldLock="1"/>
      </w:r>
      <w:r w:rsidR="00AE57E1">
        <w:instrText>ADDIN CSL_CITATION {"citationItems":[{"id":"ITEM-1","itemData":{"DOI":"10.1016/j.ajhg.2010.03.005","ISSN":"00029297","PMID":"20398886","abstract":"Retinitis pigmentosa is a genetically heterogeneous group of inherited ocular disorders characterized by progressive photoreceptor cell loss, night blindness, constriction of the visual field, and progressive visual disability. Homozygosity mapping and gene expression studies identified a 2 exon gene, C2ORF71. The encoded protein has no homologs and is highly expressed in the eye, where it is specifically expressed in photoreceptor cells. Two mutations were found in C2ORF71 in human RP patients: A nonsense mutation (p.W253X) in the first exon is likely to be a null allele; the second, a missense mutation (p.I201F) within a highly conserved region of the protein, leads to proteosomal degradation. Bioinformatic and functional studies identified and validated sites of lipid modification within the first three amino acids of the C2ORF71 protein. Using morpholino oligonucleotides to knockdown c2orf71 expression in zebrafish results in visual defects, confirming that C2ORF71 plays an important role in the development of normal vision. Finally, localization of C2ORF71 to primary cilia in cultured cells suggests that the protein is likely to localize to the connecting cilium or outer segment of photoreceptor cells. © 2010 The American Society of Human Genetics.","author":[{"dropping-particle":"","family":"Nishimura","given":"Darryl Y.","non-dropping-particle":"","parse-names":false,"suffix":""},{"dropping-particle":"","family":"Baye","given":"Lisa M.","non-dropping-particle":"","parse-names":false,"suffix":""},{"dropping-particle":"","family":"Perveen","given":"Rahat","non-dropping-particle":"","parse-names":false,"suffix":""},{"dropping-particle":"","family":"Searby","given":"Charles C.","non-dropping-particle":"","parse-names":false,"suffix":""},{"dropping-particle":"","family":"Avila-Fernandez","given":"Almudena","non-dropping-particle":"","parse-names":false,"suffix":""},{"dropping-particle":"","family":"Pereiro","given":"Ines","non-dropping-particle":"","parse-names":false,"suffix":""},{"dropping-particle":"","family":"Ayuso","given":"Carmen","non-dropping-particle":"","parse-names":false,"suffix":""},{"dropping-particle":"","family":"Valverde","given":"Diana","non-dropping-particle":"","parse-names":false,"suffix":""},{"dropping-particle":"","family":"Bishop","given":"Paul N.","non-dropping-particle":"","parse-names":false,"suffix":""},{"dropping-particle":"","family":"Manson","given":"Forbes D.C.","non-dropping-particle":"","parse-names":false,"suffix":""},{"dropping-particle":"","family":"Urquhart","given":"Jill","non-dropping-particle":"","parse-names":false,"suffix":""},{"dropping-particle":"","family":"Stone","given":"Edwin M.","non-dropping-particle":"","parse-names":false,"suffix":""},{"dropping-particle":"","family":"Slusarski","given":"Diane C.","non-dropping-particle":"","parse-names":false,"suffix":""},{"dropping-particle":"","family":"Black","given":"Graeme C.M.","non-dropping-particle":"","parse-names":false,"suffix":""},{"dropping-particle":"","family":"Sheffield","given":"Val C.","non-dropping-particle":"","parse-names":false,"suffix":""}],"container-title":"American Journal of Human Genetics","id":"ITEM-1","issue":"5","issued":{"date-parts":[["2010","5","14"]]},"page":"686-695","publisher":"Am J Hum Genet","title":"Discovery and Functional Analysis of a Retinitis Pigmentosa Gene, C2ORF71","type":"article-journal","volume":"86"},"uris":["http://www.mendeley.com/documents/?uuid=7ff44f69-0312-355f-ab65-a85cdc6e4cd7"]}],"mendeley":{"formattedCitation":"(5)","plainTextFormattedCitation":"(5)","previouslyFormattedCitation":"(5)"},"properties":{"noteIndex":0},"schema":"https://github.com/citation-style-language/schema/raw/master/csl-citation.json"}</w:instrText>
      </w:r>
      <w:r w:rsidR="00AE57E1">
        <w:fldChar w:fldCharType="separate"/>
      </w:r>
      <w:r w:rsidR="00AE57E1" w:rsidRPr="00AE57E1">
        <w:rPr>
          <w:noProof/>
        </w:rPr>
        <w:t>(5)</w:t>
      </w:r>
      <w:r w:rsidR="00AE57E1">
        <w:fldChar w:fldCharType="end"/>
      </w:r>
      <w:r w:rsidRPr="001412F5">
        <w:t xml:space="preserve">. Given the consanguineous background, multiple rare recessive variants may have been inherited from carrier parents and may contribute to different clinical features; therefore, this VUS was prioritized as a </w:t>
      </w:r>
      <w:r w:rsidRPr="001412F5">
        <w:rPr>
          <w:b/>
          <w:bCs/>
        </w:rPr>
        <w:t>candidate variant</w:t>
      </w:r>
      <w:r w:rsidRPr="001412F5">
        <w:t>, particularly for the visual phenotype</w:t>
      </w:r>
      <w:r w:rsidR="00AE57E1">
        <w:t xml:space="preserve"> </w:t>
      </w:r>
      <w:r w:rsidR="00AE57E1">
        <w:fldChar w:fldCharType="begin" w:fldLock="1"/>
      </w:r>
      <w:r w:rsidR="00AE57E1">
        <w:instrText>ADDIN CSL_CITATION {"citationItems":[{"id":"ITEM-1","itemData":{"DOI":"10.1080/13816810.2025.2503385","ISSN":"1744-5094","PMID":"40400237","abstract":"Introduction: Macular colobomata (MCs) are excavated chorioretinal lesions found in subjects with systemic diseases and syndromes, positive family history, congenital toxoplasmosis, North Carolina Macular Dystrophy, and other retinal dystrophies. Methods: Case report. Results: A full-term-born, otherwise healthy 18-year-old female patient with no known family history of ocular conditions presented bilateral MCs, peripheral spotty hypopigmentation, and compromised cone and rod function. Genetic testing showed the pathogenic homozygous variant NM_001029883.3:c.3604C&gt;T (p(Arg1202*)) of C2ORF71/PCARE, a ciliary gene previously associated with RP and cone-rod dystrophy, but not previously found in cases of MCs. Conclusions: Further studies are needed to elucidate the genotype/phenotype correlation and the pathogenesis of MCs in retinal dystrophies.","author":[{"dropping-particle":"","family":"Pederzolli","given":"Matteo","non-dropping-particle":"","parse-names":false,"suffix":""},{"dropping-particle":"","family":"Servillo","given":"Andrea","non-dropping-particle":"","parse-names":false,"suffix":""},{"dropping-particle":"","family":"Sacconi","given":"Riccardo","non-dropping-particle":"","parse-names":false,"suffix":""},{"dropping-particle":"","family":"Bandello","given":"Francesco","non-dropping-particle":"","parse-names":false,"suffix":""},{"dropping-particle":"","family":"Querques","given":"Giuseppe","non-dropping-particle":"","parse-names":false,"suffix":""}],"container-title":"Ophthalmic genetics","id":"ITEM-1","issue":"5","issued":{"date-parts":[["2025"]]},"page":"483-488","publisher":"Ophthalmic Genet","title":"Bilateral macular colobomata: expanded phenotype of PCARE/C2ORF71","type":"article-journal","volume":"46"},"uris":["http://www.mendeley.com/documents/?uuid=caea9e6a-c871-3b87-83f4-551ddba1662c"]}],"mendeley":{"formattedCitation":"(6)","plainTextFormattedCitation":"(6)","previouslyFormattedCitation":"(6)"},"properties":{"noteIndex":0},"schema":"https://github.com/citation-style-language/schema/raw/master/csl-citation.json"}</w:instrText>
      </w:r>
      <w:r w:rsidR="00AE57E1">
        <w:fldChar w:fldCharType="separate"/>
      </w:r>
      <w:r w:rsidR="00AE57E1" w:rsidRPr="00AE57E1">
        <w:rPr>
          <w:noProof/>
        </w:rPr>
        <w:t>(6)</w:t>
      </w:r>
      <w:r w:rsidR="00AE57E1">
        <w:fldChar w:fldCharType="end"/>
      </w:r>
      <w:r w:rsidR="00AE57E1">
        <w:t>.</w:t>
      </w:r>
    </w:p>
    <w:p w14:paraId="1AF416E6" w14:textId="77777777" w:rsidR="00AE57E1" w:rsidRPr="001412F5" w:rsidRDefault="00AE57E1" w:rsidP="00AE57E1">
      <w:pPr>
        <w:jc w:val="both"/>
        <w:rPr>
          <w:rtl/>
        </w:rPr>
      </w:pPr>
    </w:p>
    <w:p w14:paraId="1C8155CE" w14:textId="0A70A8BE" w:rsidR="002D2246" w:rsidRPr="004D2B2C" w:rsidRDefault="004C20B1" w:rsidP="004D2B2C">
      <w:pPr>
        <w:jc w:val="both"/>
        <w:rPr>
          <w:b/>
          <w:bCs/>
        </w:rPr>
      </w:pPr>
      <w:r w:rsidRPr="004C20B1">
        <w:rPr>
          <w:b/>
          <w:bCs/>
        </w:rPr>
        <w:t xml:space="preserve">PUM3: </w:t>
      </w:r>
      <w:r w:rsidRPr="004C20B1">
        <w:t>The homozygous state was compatible with the suspected autosomal-recessive inheritance pattern, and PUM3 showed limited biological relevance to the neurodevelopmental phenotype. However, evidence supporting PUM3 as a monogenic disease gene is limited, with insufficient direct human genetic evidence</w:t>
      </w:r>
      <w:r w:rsidR="00AE57E1">
        <w:t xml:space="preserve"> </w:t>
      </w:r>
      <w:r w:rsidR="00AE57E1">
        <w:fldChar w:fldCharType="begin" w:fldLock="1"/>
      </w:r>
      <w:r w:rsidR="00AE57E1">
        <w:instrText>ADDIN CSL_CITATION {"citationItems":[{"id":"ITEM-1","itemData":{"DOI":"10.1017/S0967199423000205","ISSN":"1469-8730","PMID":"37194574","abstract":"Pumilio3 (Pum3), an evolutionarily distant homologue of the classical RNA-binding protein PUF (PUMILIO and FBF) family member, is also involved in the process of RNA metabolism through post-transcriptional regulation. However, the functions of Pum3 in mouse oocyte maturation and preimplantation embryonic development have not been elucidated. By comparing RNA levels in different tissues, we found that Pum3 was widely expressed in multiple tissues, but moderately predominant in the ovary. Histochemical staining suggested that the PUM3 protein exhibits positive signals in oocytes, granulosa cells and theca cells of different follicle stages. Oocyte immunofluorescence results showed a slightly higher level of PUM3 protein in metaphase II compared with the germinal vesicle (GV) stage. After knockdown of Pum3 in GV oocytes using siRNA injection (siPUM3), no obvious defect was observed in the processes of GV breakdown and polar body extrusion during in vitro maturation (IVM) for the siPum3 oocytes. Compared with the control group, the siPUM3 group displayed no significant abnormality in the cleavage and blastocyst formation rate of these fertilized oocytes. Therefore, we can conclude that depletion of Pum3 does not affect mouse oocyte maturation and early embryonic development in vitro.","author":[{"dropping-particle":"","family":"Zhao","given":"Ting Ting","non-dropping-particle":"","parse-names":false,"suffix":""},{"dropping-particle":"","family":"Huang","given":"Wei","non-dropping-particle":"","parse-names":false,"suffix":""},{"dropping-particle":"","family":"Lin","given":"Kaibo","non-dropping-particle":"","parse-names":false,"suffix":""}],"container-title":"Zygote (Cambridge, England)","id":"ITEM-1","issue":"4","issued":{"date-parts":[["2023","8","1"]]},"page":"359-365","publisher":"Zygote","title":"Pum3 is dispensable for mouse oocyte maturation and embryo development in vitro","type":"article-journal","volume":"31"},"uris":["http://www.mendeley.com/documents/?uuid=abf9ae2c-17ea-37f1-95e0-9bfe7fb10052"]}],"mendeley":{"formattedCitation":"(7)","plainTextFormattedCitation":"(7)","previouslyFormattedCitation":"(7)"},"properties":{"noteIndex":0},"schema":"https://github.com/citation-style-language/schema/raw/master/csl-citation.json"}</w:instrText>
      </w:r>
      <w:r w:rsidR="00AE57E1">
        <w:fldChar w:fldCharType="separate"/>
      </w:r>
      <w:r w:rsidR="00AE57E1" w:rsidRPr="00AE57E1">
        <w:rPr>
          <w:noProof/>
        </w:rPr>
        <w:t>(7)</w:t>
      </w:r>
      <w:r w:rsidR="00AE57E1">
        <w:fldChar w:fldCharType="end"/>
      </w:r>
      <w:r w:rsidRPr="004C20B1">
        <w:t>. Although the variant was initially rare, its frequency has increased in recent gnomAD releases. Notably, gnomAD v4 identified six apparently unaffected homozygous individuals, including individuals of Middle Eastern ancestry. This finding weakens its candidacy, particularly in our consanguineous Iranian pedigree. Therefore, PUM3 was retained as a secondary candidate but was not prioritized.</w:t>
      </w:r>
    </w:p>
    <w:p w14:paraId="655A3F78" w14:textId="77777777" w:rsidR="002D2246" w:rsidRDefault="002D2246" w:rsidP="00BA79A9">
      <w:pPr>
        <w:jc w:val="both"/>
      </w:pPr>
    </w:p>
    <w:p w14:paraId="138FCBB0" w14:textId="6039C6A4" w:rsidR="00BA79A9" w:rsidRPr="00BA79A9" w:rsidRDefault="00BA79A9" w:rsidP="00BA79A9">
      <w:pPr>
        <w:jc w:val="both"/>
        <w:rPr>
          <w:b/>
          <w:bCs/>
        </w:rPr>
      </w:pPr>
      <w:r w:rsidRPr="00BA79A9">
        <w:rPr>
          <w:b/>
          <w:bCs/>
        </w:rPr>
        <w:t xml:space="preserve">KDM7A: </w:t>
      </w:r>
      <w:r w:rsidRPr="00BA79A9">
        <w:t>A homozygous KDM7A variant was identified. Although the global gnomAD allele frequency (~0.0028) appears low, ancestry-stratified data show a substantially higher frequency in Middle Eastern (~1.14%) and South Asian (~1.18%) populations, with three homozygous individuals reported in the Middle Eastern subset of gnomAD v4. KDM7A has limited neurodevelopmental evidence; animal studies in zebrafish showed brain developmental defects following KDM7A depletion, with increased KDM7A expression observed during brain and hindbrain development</w:t>
      </w:r>
      <w:r w:rsidR="00AE57E1">
        <w:t xml:space="preserve"> </w:t>
      </w:r>
      <w:r w:rsidR="00AE57E1">
        <w:fldChar w:fldCharType="begin" w:fldLock="1"/>
      </w:r>
      <w:r w:rsidR="00DD7A25">
        <w:instrText>ADDIN CSL_CITATION {"citationItems":[{"id":"ITEM-1","itemData":{"DOI":"10.1101/GAD.1864410","ISSN":"08909369","PMID":"20194436","abstract":"Methylation of histone H3 Lys 9 and Lys 27 (H3K9 and H3K27) is associated with transcriptional silencing. Here we show that KDM7, a JmjC domain-containing protein, catalyzes demethylation of both mono- or dimethylated H3K9 and H3K27. Inhibition of KDM7 orthologs in zebrafish resulted in developmental brain defects. KDM7 interacts with the follistatin gene locus, and KDM7 depletion in mammalian neuronal cells suppressed follistatin gene transcription in association with increased levels of dimethylated H3K9 and H3K27. Our findings identify KDM7 as a dual demethylase for H3K9 and H3K27 that functions as an eraser of silencing marks on chromatin during brain development. © 2010 by Cold Spring Harbor Laboratory Press.","author":[{"dropping-particle":"","family":"Tsukada","given":"Yu Ichi","non-dropping-particle":"","parse-names":false,"suffix":""},{"dropping-particle":"","family":"Ishitani","given":"Tohru","non-dropping-particle":"","parse-names":false,"suffix":""},{"dropping-particle":"","family":"Nakayama","given":"Keiichi I.","non-dropping-particle":"","parse-names":false,"suffix":""}],"container-title":"Genes &amp; Development","id":"ITEM-1","issue":"5","issued":{"date-parts":[["2010","3","1"]]},"page":"432","title":"KDM7 is a dual demethylase for histone H3 Lys 9 and Lys 27 and functions in brain development","type":"article-journal","volume":"24"},"uris":["http://www.mendeley.com/documents/?uuid=c968db2d-ddb6-3fa1-b0f1-7eebe4f26268"]}],"mendeley":{"formattedCitation":"(8)","plainTextFormattedCitation":"(8)","previouslyFormattedCitation":"(8)"},"properties":{"noteIndex":0},"schema":"https://github.com/citation-style-language/schema/raw/master/csl-citation.json"}</w:instrText>
      </w:r>
      <w:r w:rsidR="00AE57E1">
        <w:fldChar w:fldCharType="separate"/>
      </w:r>
      <w:r w:rsidR="00AE57E1" w:rsidRPr="00AE57E1">
        <w:rPr>
          <w:noProof/>
        </w:rPr>
        <w:t>(8)</w:t>
      </w:r>
      <w:r w:rsidR="00AE57E1">
        <w:fldChar w:fldCharType="end"/>
      </w:r>
      <w:r w:rsidRPr="00BA79A9">
        <w:t>. However, direct human genetic evidence remains limited. Given the relatively high ancestry-matched frequency and occurrence of unaffected homozygotes, the variant was considered a low-confidence candidate and was not prioritized</w:t>
      </w:r>
      <w:r w:rsidRPr="00BA79A9">
        <w:rPr>
          <w:b/>
          <w:bCs/>
        </w:rPr>
        <w:t>.</w:t>
      </w:r>
    </w:p>
    <w:p w14:paraId="6BE1276B" w14:textId="77777777" w:rsidR="00526DD0" w:rsidRDefault="00526DD0" w:rsidP="00BA79A9">
      <w:pPr>
        <w:jc w:val="both"/>
        <w:rPr>
          <w:lang w:bidi="fa-IR"/>
        </w:rPr>
      </w:pPr>
    </w:p>
    <w:p w14:paraId="01A73F18" w14:textId="1F06492F" w:rsidR="00526DD0" w:rsidRPr="00526DD0" w:rsidRDefault="00526DD0" w:rsidP="00BA79A9">
      <w:pPr>
        <w:jc w:val="both"/>
        <w:rPr>
          <w:b/>
          <w:bCs/>
          <w:lang w:bidi="fa-IR"/>
        </w:rPr>
      </w:pPr>
      <w:r w:rsidRPr="00526DD0">
        <w:rPr>
          <w:b/>
          <w:bCs/>
          <w:lang w:bidi="fa-IR"/>
        </w:rPr>
        <w:t>Supplementary Compound Heterozygosity Screening</w:t>
      </w:r>
      <w:r w:rsidR="004D2B2C">
        <w:rPr>
          <w:rFonts w:hint="cs"/>
          <w:b/>
          <w:bCs/>
          <w:rtl/>
          <w:lang w:bidi="fa-IR"/>
        </w:rPr>
        <w:t>:</w:t>
      </w:r>
    </w:p>
    <w:p w14:paraId="493FBD56" w14:textId="56E97FFF" w:rsidR="00526DD0" w:rsidRDefault="00526DD0" w:rsidP="00BA79A9">
      <w:pPr>
        <w:jc w:val="both"/>
        <w:rPr>
          <w:b/>
          <w:bCs/>
          <w:lang w:bidi="fa-IR"/>
        </w:rPr>
      </w:pPr>
      <w:r w:rsidRPr="00526DD0">
        <w:rPr>
          <w:lang w:bidi="fa-IR"/>
        </w:rPr>
        <w:t xml:space="preserve">In addition to the primary homozygous-only filter, heterozygous variants were reviewed where </w:t>
      </w:r>
      <w:r w:rsidRPr="00526DD0">
        <w:rPr>
          <w:b/>
          <w:bCs/>
          <w:lang w:bidi="fa-IR"/>
        </w:rPr>
        <w:t>two or more rare variants were detected within the same gene</w:t>
      </w:r>
      <w:r w:rsidRPr="00526DD0">
        <w:rPr>
          <w:lang w:bidi="fa-IR"/>
        </w:rPr>
        <w:t xml:space="preserve"> (compound heterozygosity). Although these variants were heterozygous rather than homozygous, biallelic inheritance of two different pathogenic alleles in trans can be functionally equivalent to homozygosity and produce the same autosomal recessive phenotyp</w:t>
      </w:r>
      <w:r>
        <w:rPr>
          <w:lang w:bidi="fa-IR"/>
        </w:rPr>
        <w:t xml:space="preserve">e. </w:t>
      </w:r>
      <w:r>
        <w:rPr>
          <w:rFonts w:hint="cs"/>
          <w:rtl/>
          <w:lang w:bidi="fa-IR"/>
        </w:rPr>
        <w:t xml:space="preserve"> </w:t>
      </w:r>
      <w:r w:rsidRPr="00526DD0">
        <w:rPr>
          <w:lang w:bidi="fa-IR"/>
        </w:rPr>
        <w:t xml:space="preserve">After applying the same downstream filters used for the homozygous variants, </w:t>
      </w:r>
      <w:r w:rsidRPr="00526DD0">
        <w:rPr>
          <w:b/>
          <w:bCs/>
          <w:lang w:bidi="fa-IR"/>
        </w:rPr>
        <w:t>17 candidate genes with more than one variant per gene were shortlisted; none was found to be phenotypically or genotypically relevant to this pedigree.</w:t>
      </w:r>
    </w:p>
    <w:p w14:paraId="296F110F" w14:textId="77777777" w:rsidR="00E30DC5" w:rsidRDefault="00E30DC5">
      <w:pPr>
        <w:rPr>
          <w:lang w:bidi="fa-IR"/>
        </w:rPr>
      </w:pPr>
    </w:p>
    <w:p w14:paraId="62CF24C7" w14:textId="77777777" w:rsidR="00E30DC5" w:rsidRDefault="00E30DC5">
      <w:pPr>
        <w:rPr>
          <w:lang w:bidi="fa-IR"/>
        </w:rPr>
      </w:pPr>
    </w:p>
    <w:p w14:paraId="31F1F4BE" w14:textId="2A96B0D9" w:rsidR="00E30DC5" w:rsidRDefault="00BA79A9" w:rsidP="00BA79A9">
      <w:pPr>
        <w:pStyle w:val="Heading1"/>
        <w:rPr>
          <w:rtl/>
          <w:lang w:bidi="fa-IR"/>
        </w:rPr>
      </w:pPr>
      <w:r>
        <w:rPr>
          <w:lang w:bidi="fa-IR"/>
        </w:rPr>
        <w:t>Conclusion:</w:t>
      </w:r>
    </w:p>
    <w:p w14:paraId="15E89ACC" w14:textId="77777777" w:rsidR="00BA79A9" w:rsidRPr="00BA79A9" w:rsidRDefault="00BA79A9" w:rsidP="00BA79A9">
      <w:pPr>
        <w:pStyle w:val="ListParagraph"/>
        <w:rPr>
          <w:lang w:bidi="fa-IR"/>
        </w:rPr>
      </w:pPr>
      <w:r w:rsidRPr="00BA79A9">
        <w:rPr>
          <w:lang w:bidi="fa-IR"/>
        </w:rPr>
        <w:t>Overall, the stepwise analysis successfully narrowed the candidate variants to four genes—YY1AP1, C2orf71, PUM3, and KDM7A—with YY1AP1 and C2orf71 showing the strongest phenotype and genetic relevance to the pedigree. These findings provide promising candidates for further investigation and may help clarify the molecular basis of the observed phenotype.</w:t>
      </w:r>
    </w:p>
    <w:p w14:paraId="7DEC9FCD" w14:textId="2892F524" w:rsidR="00E30DC5" w:rsidRDefault="00BA79A9" w:rsidP="00AE57E1">
      <w:pPr>
        <w:pStyle w:val="ListParagraph"/>
        <w:rPr>
          <w:lang w:bidi="fa-IR"/>
        </w:rPr>
      </w:pPr>
      <w:r w:rsidRPr="00BA79A9">
        <w:rPr>
          <w:lang w:bidi="fa-IR"/>
        </w:rPr>
        <w:t>Further clinical and molecular evaluation, particularly cardiovascular assessment for YY1AP1 and ophthalmologic evaluation with parental Sanger sequencing for C2orf71, would help strengthen the interpretation and assess segregation. Although the analysis was limited by the availability of variant data only for the proband and the absence of raw sequencing data, the current findings provide a focused set of candidates for subsequent validation.</w:t>
      </w:r>
      <w:r w:rsidR="00AE57E1" w:rsidRPr="00AE57E1">
        <w:t xml:space="preserve"> </w:t>
      </w:r>
      <w:r w:rsidR="00AE57E1" w:rsidRPr="00AE57E1">
        <w:rPr>
          <w:lang w:bidi="fa-IR"/>
        </w:rPr>
        <w:t>Overall, as summarized in Figure 2, the complete analytical workflow—from initial variant filtering and quality assessment to gene–disease evaluation and final candidate prioritization—provided a systematic approach for narrowing the dataset to the most relevant candidates for further investigation.</w:t>
      </w:r>
    </w:p>
    <w:p w14:paraId="27707A03" w14:textId="77777777" w:rsidR="00E30DC5" w:rsidRDefault="00E30DC5">
      <w:pPr>
        <w:rPr>
          <w:lang w:bidi="fa-IR"/>
        </w:rPr>
      </w:pPr>
    </w:p>
    <w:p w14:paraId="6CB80446" w14:textId="62AACBA3" w:rsidR="00E30DC5" w:rsidRDefault="00AE57E1" w:rsidP="00AE57E1">
      <w:pPr>
        <w:jc w:val="center"/>
        <w:rPr>
          <w:rFonts w:hint="cs"/>
          <w:rtl/>
          <w:lang w:bidi="fa-IR"/>
        </w:rPr>
      </w:pPr>
      <w:r>
        <w:rPr>
          <w:noProof/>
        </w:rPr>
        <w:lastRenderedPageBreak/>
        <w:drawing>
          <wp:inline distT="0" distB="0" distL="0" distR="0" wp14:anchorId="4D531DA8" wp14:editId="35FA9EA9">
            <wp:extent cx="4596656" cy="5734050"/>
            <wp:effectExtent l="152400" t="152400" r="356870" b="361950"/>
            <wp:docPr id="352248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1025" cy="5776923"/>
                    </a:xfrm>
                    <a:prstGeom prst="rect">
                      <a:avLst/>
                    </a:prstGeom>
                    <a:ln>
                      <a:noFill/>
                    </a:ln>
                    <a:effectLst>
                      <a:outerShdw blurRad="292100" dist="139700" dir="2700000" algn="tl" rotWithShape="0">
                        <a:srgbClr val="333333">
                          <a:alpha val="65000"/>
                        </a:srgbClr>
                      </a:outerShdw>
                    </a:effectLst>
                  </pic:spPr>
                </pic:pic>
              </a:graphicData>
            </a:graphic>
          </wp:inline>
        </w:drawing>
      </w:r>
    </w:p>
    <w:p w14:paraId="262A0EA8" w14:textId="28D32C10" w:rsidR="00E30DC5" w:rsidRDefault="00AE57E1" w:rsidP="00AE57E1">
      <w:pPr>
        <w:jc w:val="center"/>
        <w:rPr>
          <w:sz w:val="18"/>
          <w:szCs w:val="18"/>
          <w:rtl/>
          <w:lang w:bidi="fa-IR"/>
        </w:rPr>
      </w:pPr>
      <w:r w:rsidRPr="00AE57E1">
        <w:rPr>
          <w:sz w:val="18"/>
          <w:szCs w:val="18"/>
          <w:lang w:bidi="fa-IR"/>
        </w:rPr>
        <w:t>Figure 2. Summary of the stepwise variant filtering and prioritization workflow, from the initial dataset to the final candidate variants.</w:t>
      </w:r>
    </w:p>
    <w:p w14:paraId="569096B2" w14:textId="77777777" w:rsidR="00DD7A25" w:rsidRDefault="00DD7A25" w:rsidP="00AE57E1">
      <w:pPr>
        <w:jc w:val="center"/>
        <w:rPr>
          <w:sz w:val="18"/>
          <w:szCs w:val="18"/>
          <w:rtl/>
          <w:lang w:bidi="fa-IR"/>
        </w:rPr>
      </w:pPr>
    </w:p>
    <w:p w14:paraId="77B4AE3F" w14:textId="77777777" w:rsidR="00DD7A25" w:rsidRDefault="00DD7A25" w:rsidP="00AE57E1">
      <w:pPr>
        <w:jc w:val="center"/>
        <w:rPr>
          <w:sz w:val="18"/>
          <w:szCs w:val="18"/>
          <w:rtl/>
          <w:lang w:bidi="fa-IR"/>
        </w:rPr>
      </w:pPr>
    </w:p>
    <w:p w14:paraId="7910DD61" w14:textId="77777777" w:rsidR="00DD7A25" w:rsidRDefault="00DD7A25" w:rsidP="00AE57E1">
      <w:pPr>
        <w:jc w:val="center"/>
        <w:rPr>
          <w:sz w:val="18"/>
          <w:szCs w:val="18"/>
          <w:rtl/>
          <w:lang w:bidi="fa-IR"/>
        </w:rPr>
      </w:pPr>
    </w:p>
    <w:p w14:paraId="6E59B0B1" w14:textId="77777777" w:rsidR="00DD7A25" w:rsidRDefault="00DD7A25" w:rsidP="00AE57E1">
      <w:pPr>
        <w:jc w:val="center"/>
        <w:rPr>
          <w:sz w:val="18"/>
          <w:szCs w:val="18"/>
          <w:rtl/>
          <w:lang w:bidi="fa-IR"/>
        </w:rPr>
      </w:pPr>
    </w:p>
    <w:p w14:paraId="7D0C5A9C" w14:textId="77777777" w:rsidR="00DD7A25" w:rsidRPr="00DD7A25" w:rsidRDefault="00DD7A25" w:rsidP="00AE57E1">
      <w:pPr>
        <w:jc w:val="center"/>
        <w:rPr>
          <w:sz w:val="16"/>
          <w:szCs w:val="16"/>
          <w:rtl/>
          <w:lang w:bidi="fa-IR"/>
        </w:rPr>
      </w:pPr>
    </w:p>
    <w:p w14:paraId="642BF362" w14:textId="2633EAE7" w:rsidR="00DD7A25" w:rsidRPr="00DD7A25" w:rsidRDefault="00DD7A25" w:rsidP="00DD7A25">
      <w:pPr>
        <w:widowControl w:val="0"/>
        <w:autoSpaceDE w:val="0"/>
        <w:autoSpaceDN w:val="0"/>
        <w:adjustRightInd w:val="0"/>
        <w:ind w:left="640" w:hanging="640"/>
        <w:rPr>
          <w:noProof/>
          <w:sz w:val="16"/>
          <w:szCs w:val="18"/>
        </w:rPr>
      </w:pPr>
      <w:r w:rsidRPr="00DD7A25">
        <w:rPr>
          <w:sz w:val="16"/>
          <w:szCs w:val="16"/>
          <w:lang w:bidi="fa-IR"/>
        </w:rPr>
        <w:fldChar w:fldCharType="begin" w:fldLock="1"/>
      </w:r>
      <w:r w:rsidRPr="00DD7A25">
        <w:rPr>
          <w:sz w:val="16"/>
          <w:szCs w:val="16"/>
          <w:lang w:bidi="fa-IR"/>
        </w:rPr>
        <w:instrText xml:space="preserve">ADDIN Mendeley Bibliography CSL_BIBLIOGRAPHY </w:instrText>
      </w:r>
      <w:r w:rsidRPr="00DD7A25">
        <w:rPr>
          <w:sz w:val="16"/>
          <w:szCs w:val="16"/>
          <w:lang w:bidi="fa-IR"/>
        </w:rPr>
        <w:fldChar w:fldCharType="separate"/>
      </w:r>
      <w:r w:rsidRPr="00DD7A25">
        <w:rPr>
          <w:noProof/>
          <w:sz w:val="16"/>
          <w:szCs w:val="18"/>
        </w:rPr>
        <w:t>1.</w:t>
      </w:r>
      <w:r w:rsidRPr="00DD7A25">
        <w:rPr>
          <w:noProof/>
          <w:sz w:val="16"/>
          <w:szCs w:val="18"/>
        </w:rPr>
        <w:tab/>
        <w:t>Unsel-Bolat G, Tezcan N, Genç-Akdağ D, Gerik-Celebi HB, Tezcan A, Bolat H. A novel compound heterozygous YY1AP1 1. Unsel-Bolat G, Tezcan N, Genç-Akdağ D, Gerik-Celebi HB, Tezcan A, Bolat H. A novel compound heterozygous YY1AP1 variant in Grange syndrome: importance of early signs in preventing life-threatening vascular complicat. J Hum Genet [Internet]. 2026 Aug 1 [cited 2026 Sep 7];71(8):485. Available from: https://pmc.ncbi.nlm.nih.gov/articles/PMC13400299/</w:t>
      </w:r>
    </w:p>
    <w:p w14:paraId="0524E7AC"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2.</w:t>
      </w:r>
      <w:r w:rsidRPr="00DD7A25">
        <w:rPr>
          <w:noProof/>
          <w:sz w:val="16"/>
          <w:szCs w:val="18"/>
        </w:rPr>
        <w:tab/>
        <w:t>Full article: Epigenetic regulation of autophagy-related genes: Implications for neurodevelopmental disorders [Internet]. [cited 2026 Sep 7]. Available from: https://www.tandfonline.com/doi/10.1080/15548627.2023.2250217?url_ver=Z39.88-2003&amp;rfr_id=ori:rid:crossref.org&amp;rfr_dat=cr_pub  0pubmed#d1e202</w:t>
      </w:r>
    </w:p>
    <w:p w14:paraId="73D868A1"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3.</w:t>
      </w:r>
      <w:r w:rsidRPr="00DD7A25">
        <w:rPr>
          <w:noProof/>
          <w:sz w:val="16"/>
          <w:szCs w:val="18"/>
        </w:rPr>
        <w:tab/>
        <w:t>Collin RWJ, Safieh C, Littink KW, Shalev SA, Garzozi HJ, Rizel L, et al. Mutations in C2ORF71 Cause Autosomal-Recessive Retinitis Pigmentosa. Am J Hum Genet [Internet]. 2010 May 14 [cited 2026 Sep 7];86(5):783–8. Available from: https://pubmed.ncbi.nlm.nih.gov/20398884/</w:t>
      </w:r>
    </w:p>
    <w:p w14:paraId="5032DCB4"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4.</w:t>
      </w:r>
      <w:r w:rsidRPr="00DD7A25">
        <w:rPr>
          <w:noProof/>
          <w:sz w:val="16"/>
          <w:szCs w:val="18"/>
        </w:rPr>
        <w:tab/>
        <w:t>Sopena-Pinilla M, Arruebo-Muñio M, Arias-Alvarez M, Arcas-Carbonell M, Tejada-González P, Lahuerta-Pueyo C, et al. Cone-Rod Dystrophy PCARE-Associated Retinopathy. Diagnostics (Basel, Switzerland) [Internet]. 2026 Jun 23 [cited 2026 Sep 7];16(13):1945. Available from: https://pubmed.ncbi.nlm.nih.gov/42449727/</w:t>
      </w:r>
    </w:p>
    <w:p w14:paraId="4A49B4BD"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5.</w:t>
      </w:r>
      <w:r w:rsidRPr="00DD7A25">
        <w:rPr>
          <w:noProof/>
          <w:sz w:val="16"/>
          <w:szCs w:val="18"/>
        </w:rPr>
        <w:tab/>
        <w:t>Nishimura DY, Baye LM, Perveen R, Searby CC, Avila-Fernandez A, Pereiro I, et al. Discovery and Functional Analysis of a Retinitis Pigmentosa Gene, C2ORF71. Am J Hum Genet [Internet]. 2010 May 14 [cited 2026 Sep 7];86(5):686–95. Available from: https://pubmed.ncbi.nlm.nih.gov/20398886/</w:t>
      </w:r>
    </w:p>
    <w:p w14:paraId="08A79E37"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6.</w:t>
      </w:r>
      <w:r w:rsidRPr="00DD7A25">
        <w:rPr>
          <w:noProof/>
          <w:sz w:val="16"/>
          <w:szCs w:val="18"/>
        </w:rPr>
        <w:tab/>
        <w:t>Pederzolli M, Servillo A, Sacconi R, Bandello F, Querques G. Bilateral macular colobomata: expanded phenotype of PCARE/C2ORF71. Ophthalmic Genet [Internet]. 2025 [cited 2026 Sep 7];46(5):483–8. Available from: https://pubmed.ncbi.nlm.nih.gov/40400237/</w:t>
      </w:r>
    </w:p>
    <w:p w14:paraId="216D5882"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7.</w:t>
      </w:r>
      <w:r w:rsidRPr="00DD7A25">
        <w:rPr>
          <w:noProof/>
          <w:sz w:val="16"/>
          <w:szCs w:val="18"/>
        </w:rPr>
        <w:tab/>
        <w:t>Zhao TT, Huang W, Lin K. Pum3 is dispensable for mouse oocyte maturation and embryo development in vitro. Zygote [Internet]. 2023 Aug 1 [cited 2026 Sep 7];31(4):359–65. Available from: https://pubmed.ncbi.nlm.nih.gov/37194574/</w:t>
      </w:r>
    </w:p>
    <w:p w14:paraId="7AE9335D" w14:textId="77777777" w:rsidR="00DD7A25" w:rsidRPr="00DD7A25" w:rsidRDefault="00DD7A25" w:rsidP="00DD7A25">
      <w:pPr>
        <w:widowControl w:val="0"/>
        <w:autoSpaceDE w:val="0"/>
        <w:autoSpaceDN w:val="0"/>
        <w:adjustRightInd w:val="0"/>
        <w:ind w:left="640" w:hanging="640"/>
        <w:rPr>
          <w:noProof/>
          <w:sz w:val="16"/>
          <w:szCs w:val="18"/>
        </w:rPr>
      </w:pPr>
      <w:r w:rsidRPr="00DD7A25">
        <w:rPr>
          <w:noProof/>
          <w:sz w:val="16"/>
          <w:szCs w:val="18"/>
        </w:rPr>
        <w:t>8.</w:t>
      </w:r>
      <w:r w:rsidRPr="00DD7A25">
        <w:rPr>
          <w:noProof/>
          <w:sz w:val="16"/>
          <w:szCs w:val="18"/>
        </w:rPr>
        <w:tab/>
        <w:t>Tsukada YI, Ishitani T, Nakayama KI. KDM7 is a dual demethylase for histone H3 Lys 9 and Lys 27 and functions in brain development. Genes Dev [Internet]. 2010 Mar 1 [cited 2026 Sep 7];24(5):432. Available from: https://pmc.ncbi.nlm.nih.gov/articles/PMC2827838/</w:t>
      </w:r>
    </w:p>
    <w:p w14:paraId="51A19A6D" w14:textId="66B76F40" w:rsidR="00DD7A25" w:rsidRPr="00AE57E1" w:rsidRDefault="00DD7A25" w:rsidP="00DD7A25">
      <w:pPr>
        <w:rPr>
          <w:sz w:val="18"/>
          <w:szCs w:val="18"/>
          <w:rtl/>
          <w:lang w:bidi="fa-IR"/>
        </w:rPr>
      </w:pPr>
      <w:r w:rsidRPr="00DD7A25">
        <w:rPr>
          <w:sz w:val="16"/>
          <w:szCs w:val="16"/>
          <w:lang w:bidi="fa-IR"/>
        </w:rPr>
        <w:fldChar w:fldCharType="end"/>
      </w:r>
    </w:p>
    <w:sectPr w:rsidR="00DD7A25" w:rsidRPr="00AE57E1">
      <w:pgSz w:w="15840" w:h="12240"/>
      <w:pgMar w:top="600" w:right="500" w:bottom="6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F2F"/>
    <w:multiLevelType w:val="multilevel"/>
    <w:tmpl w:val="04E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A0177"/>
    <w:multiLevelType w:val="hybridMultilevel"/>
    <w:tmpl w:val="B2FCE4DA"/>
    <w:lvl w:ilvl="0" w:tplc="235CD530">
      <w:start w:val="1"/>
      <w:numFmt w:val="bullet"/>
      <w:lvlText w:val="●"/>
      <w:lvlJc w:val="left"/>
      <w:pPr>
        <w:ind w:left="720" w:hanging="360"/>
      </w:pPr>
    </w:lvl>
    <w:lvl w:ilvl="1" w:tplc="39C499A2">
      <w:start w:val="1"/>
      <w:numFmt w:val="bullet"/>
      <w:lvlText w:val="○"/>
      <w:lvlJc w:val="left"/>
      <w:pPr>
        <w:ind w:left="1440" w:hanging="360"/>
      </w:pPr>
    </w:lvl>
    <w:lvl w:ilvl="2" w:tplc="6694CE20">
      <w:start w:val="1"/>
      <w:numFmt w:val="bullet"/>
      <w:lvlText w:val="■"/>
      <w:lvlJc w:val="left"/>
      <w:pPr>
        <w:ind w:left="2160" w:hanging="360"/>
      </w:pPr>
    </w:lvl>
    <w:lvl w:ilvl="3" w:tplc="4584515E">
      <w:start w:val="1"/>
      <w:numFmt w:val="bullet"/>
      <w:lvlText w:val="●"/>
      <w:lvlJc w:val="left"/>
      <w:pPr>
        <w:ind w:left="2880" w:hanging="360"/>
      </w:pPr>
    </w:lvl>
    <w:lvl w:ilvl="4" w:tplc="D2DCEE0A">
      <w:start w:val="1"/>
      <w:numFmt w:val="bullet"/>
      <w:lvlText w:val="○"/>
      <w:lvlJc w:val="left"/>
      <w:pPr>
        <w:ind w:left="3600" w:hanging="360"/>
      </w:pPr>
    </w:lvl>
    <w:lvl w:ilvl="5" w:tplc="A05C9A92">
      <w:start w:val="1"/>
      <w:numFmt w:val="bullet"/>
      <w:lvlText w:val="■"/>
      <w:lvlJc w:val="left"/>
      <w:pPr>
        <w:ind w:left="4320" w:hanging="360"/>
      </w:pPr>
    </w:lvl>
    <w:lvl w:ilvl="6" w:tplc="6DD04164">
      <w:start w:val="1"/>
      <w:numFmt w:val="bullet"/>
      <w:lvlText w:val="●"/>
      <w:lvlJc w:val="left"/>
      <w:pPr>
        <w:ind w:left="5040" w:hanging="360"/>
      </w:pPr>
    </w:lvl>
    <w:lvl w:ilvl="7" w:tplc="F392B39C">
      <w:start w:val="1"/>
      <w:numFmt w:val="bullet"/>
      <w:lvlText w:val="●"/>
      <w:lvlJc w:val="left"/>
      <w:pPr>
        <w:ind w:left="5760" w:hanging="360"/>
      </w:pPr>
    </w:lvl>
    <w:lvl w:ilvl="8" w:tplc="1958C388">
      <w:start w:val="1"/>
      <w:numFmt w:val="bullet"/>
      <w:lvlText w:val="●"/>
      <w:lvlJc w:val="left"/>
      <w:pPr>
        <w:ind w:left="6480" w:hanging="360"/>
      </w:pPr>
    </w:lvl>
  </w:abstractNum>
  <w:abstractNum w:abstractNumId="2" w15:restartNumberingAfterBreak="0">
    <w:nsid w:val="34D7608E"/>
    <w:multiLevelType w:val="multilevel"/>
    <w:tmpl w:val="0296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C0F0B"/>
    <w:multiLevelType w:val="multilevel"/>
    <w:tmpl w:val="852C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DE3087"/>
    <w:multiLevelType w:val="multilevel"/>
    <w:tmpl w:val="B98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7974">
    <w:abstractNumId w:val="1"/>
    <w:lvlOverride w:ilvl="0">
      <w:startOverride w:val="1"/>
    </w:lvlOverride>
  </w:num>
  <w:num w:numId="2" w16cid:durableId="165555296">
    <w:abstractNumId w:val="2"/>
  </w:num>
  <w:num w:numId="3" w16cid:durableId="565384065">
    <w:abstractNumId w:val="0"/>
  </w:num>
  <w:num w:numId="4" w16cid:durableId="633484252">
    <w:abstractNumId w:val="4"/>
  </w:num>
  <w:num w:numId="5" w16cid:durableId="1926961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737"/>
    <w:rsid w:val="001412F5"/>
    <w:rsid w:val="001E623F"/>
    <w:rsid w:val="00232F0C"/>
    <w:rsid w:val="002D2246"/>
    <w:rsid w:val="002E49B9"/>
    <w:rsid w:val="00396ADF"/>
    <w:rsid w:val="003E48F1"/>
    <w:rsid w:val="00474BC1"/>
    <w:rsid w:val="004C20B1"/>
    <w:rsid w:val="004D2B2C"/>
    <w:rsid w:val="004F2302"/>
    <w:rsid w:val="004F6031"/>
    <w:rsid w:val="00526DD0"/>
    <w:rsid w:val="00564CFE"/>
    <w:rsid w:val="005D67CC"/>
    <w:rsid w:val="005F5A8F"/>
    <w:rsid w:val="007D3255"/>
    <w:rsid w:val="007D36AB"/>
    <w:rsid w:val="008C6C56"/>
    <w:rsid w:val="00955737"/>
    <w:rsid w:val="00970D7E"/>
    <w:rsid w:val="009A4AA0"/>
    <w:rsid w:val="009C39B4"/>
    <w:rsid w:val="00AE57E1"/>
    <w:rsid w:val="00B718EF"/>
    <w:rsid w:val="00BA79A9"/>
    <w:rsid w:val="00BB3BA6"/>
    <w:rsid w:val="00BB45FE"/>
    <w:rsid w:val="00C73946"/>
    <w:rsid w:val="00CA3EEF"/>
    <w:rsid w:val="00CB4C24"/>
    <w:rsid w:val="00D66C7B"/>
    <w:rsid w:val="00D944A8"/>
    <w:rsid w:val="00DD7A25"/>
    <w:rsid w:val="00E02F34"/>
    <w:rsid w:val="00E30D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885D"/>
  <w15:docId w15:val="{B77A01CC-623F-4311-A471-C5F12BBF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E623F"/>
    <w:rPr>
      <w:sz w:val="24"/>
      <w:szCs w:val="24"/>
    </w:rPr>
  </w:style>
  <w:style w:type="character" w:styleId="UnresolvedMention">
    <w:name w:val="Unresolved Mention"/>
    <w:basedOn w:val="DefaultParagraphFont"/>
    <w:uiPriority w:val="99"/>
    <w:semiHidden/>
    <w:unhideWhenUsed/>
    <w:rsid w:val="008C6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genomicslaboratory.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elixinstitute.u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264D1-8B79-4BEA-A71B-325D10ADE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8</Pages>
  <Words>6230</Words>
  <Characters>35517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Shadi Shams</cp:lastModifiedBy>
  <cp:revision>17</cp:revision>
  <dcterms:created xsi:type="dcterms:W3CDTF">2026-09-04T21:40:00Z</dcterms:created>
  <dcterms:modified xsi:type="dcterms:W3CDTF">2026-09-07T19:46:00Z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18th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 (in-text citations)</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7eb67592-c885-317e-8a26-3aa7d3fe1ff0</vt:lpwstr>
  </property>
  <property fmtid="{D5CDD505-2E9C-101B-9397-08002B2CF9AE}" pid="24" name="Mendeley Citation Style_1">
    <vt:lpwstr>http://www.zotero.org/styles/vancouver</vt:lpwstr>
  </property>
</Properties>
</file>