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800"/>
        <w:jc w:val="center"/>
      </w:pPr>
      <w:r>
        <w:rPr>
          <w:rFonts w:ascii="Arial" w:cs="Arial" w:eastAsia="Arial" w:hAnsi="Arial"/>
          <w:b/>
          <w:bCs/>
          <w:color w:val="0F6E56"/>
          <w:sz w:val="72"/>
          <w:szCs w:val="72"/>
        </w:rPr>
        <w:t xml:space="preserve">StreetSense AI</w:t>
      </w:r>
    </w:p>
    <w:p>
      <w:pPr>
        <w:spacing w:after="80" w:before="0"/>
        <w:jc w:val="center"/>
      </w:pPr>
      <w:r>
        <w:rPr>
          <w:rFonts w:ascii="Arial" w:cs="Arial" w:eastAsia="Arial" w:hAnsi="Arial"/>
          <w:color w:val="1B3A5C"/>
          <w:sz w:val="32"/>
          <w:szCs w:val="32"/>
        </w:rPr>
        <w:t xml:space="preserve">Product Planning &amp; Strategy Document</w:t>
      </w:r>
    </w:p>
    <w:p>
      <w:pPr>
        <w:spacing w:after="80" w:before="0"/>
        <w:jc w:val="center"/>
      </w:pPr>
      <w:r>
        <w:rPr>
          <w:rFonts w:ascii="Arial" w:cs="Arial" w:eastAsia="Arial" w:hAnsi="Arial"/>
          <w:i/>
          <w:iCs/>
          <w:color w:val="5F5E5A"/>
          <w:sz w:val="26"/>
          <w:szCs w:val="26"/>
        </w:rPr>
        <w:t xml:space="preserve">Cross-Authority Roadworks Intelligence Platform</w:t>
      </w:r>
    </w:p>
    <w:p>
      <w:pPr>
        <w:spacing w:after="40" w:before="40"/>
        <w:jc w:val="center"/>
      </w:pPr>
      <w:r>
        <w:rPr>
          <w:rFonts w:ascii="Arial" w:cs="Arial" w:eastAsia="Arial" w:hAnsi="Arial"/>
          <w:color w:val="5F5E5A"/>
          <w:sz w:val="20"/>
          <w:szCs w:val="20"/>
        </w:rPr>
        <w:t xml:space="preserve">Version 1.0  |  May 2026  |  Confidential</w:t>
      </w:r>
    </w:p>
    <w:p>
      <w:pPr>
        <w:spacing w:after="60" w:before="60"/>
        <w:jc w:val="center"/>
      </w:pPr>
      <w:r>
        <w:rPr>
          <w:rFonts w:ascii="Arial" w:cs="Arial" w:eastAsia="Arial" w:hAnsi="Arial"/>
          <w:i/>
          <w:iCs/>
          <w:color w:val="5F5E5A"/>
          <w:sz w:val="20"/>
          <w:szCs w:val="20"/>
        </w:rPr>
        <w:t xml:space="preserve">Prepared for: Causeway Technologies Leadership Engagement</w:t>
      </w:r>
    </w:p>
    <w:p>
      <w:pPr>
        <w:spacing w:after="0" w:before="600"/>
      </w:pPr>
      <w:r>
        <w:t xml:space="preserve"/>
      </w:r>
    </w:p>
    <w:p>
      <w:r>
        <w:br w:type="page"/>
      </w:r>
    </w:p>
    <w:p>
      <w:pPr>
        <w:pStyle w:val="Heading1"/>
        <w:pBdr>
          <w:bottom w:val="single" w:color="0F6E56" w:sz="6" w:space="4"/>
        </w:pBdr>
        <w:spacing w:after="160" w:before="360"/>
      </w:pPr>
      <w:r>
        <w:rPr>
          <w:rFonts w:ascii="Arial" w:cs="Arial" w:eastAsia="Arial" w:hAnsi="Arial"/>
          <w:b/>
          <w:bCs/>
          <w:color w:val="1B3A5C"/>
          <w:sz w:val="36"/>
          <w:szCs w:val="36"/>
        </w:rPr>
        <w:t xml:space="preserve">1. Product Name Options</w:t>
      </w:r>
    </w:p>
    <w:p>
      <w:pPr>
        <w:spacing w:after="80" w:before="80"/>
        <w:jc w:val="left"/>
      </w:pPr>
      <w:r>
        <w:rPr>
          <w:rFonts w:ascii="Arial" w:cs="Arial" w:eastAsia="Arial" w:hAnsi="Arial"/>
          <w:b w:val="false"/>
          <w:bCs w:val="false"/>
          <w:i w:val="false"/>
          <w:iCs w:val="false"/>
          <w:color w:val="1A1A1A"/>
          <w:sz w:val="22"/>
          <w:szCs w:val="22"/>
        </w:rPr>
        <w:t xml:space="preserve">Seven candidate names are presented below. Each is evaluated against three criteria: memorability, domain relevance, and positioning signal to Causeway Technologies leadership.</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rPr>
          <w:tblHeader/>
        </w:trPr>
        <w:tc>
          <w:tcPr>
            <w:tcW w:type="dxa" w:w="1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Name</w:t>
            </w:r>
          </w:p>
        </w:tc>
        <w:tc>
          <w:tcPr>
            <w:tcW w:type="dxa" w:w="24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Memorability</w:t>
            </w:r>
          </w:p>
        </w:tc>
        <w:tc>
          <w:tcPr>
            <w:tcW w:type="dxa" w:w="24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Domain Signal</w:t>
            </w:r>
          </w:p>
        </w:tc>
        <w:tc>
          <w:tcPr>
            <w:tcW w:type="dxa" w:w="27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Positioning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bCs/>
                <w:color w:val="0F6E56"/>
                <w:sz w:val="20"/>
                <w:szCs w:val="20"/>
              </w:rPr>
              <w:t xml:space="preserve">StreetSense AI</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High — intuitive compound word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Street Manager / roads data</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Intelligence layer on top of existing platforms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bCs/>
                <w:color w:val="1B3A5C"/>
                <w:sz w:val="20"/>
                <w:szCs w:val="20"/>
              </w:rPr>
              <w:t xml:space="preserve">Corridor IQ</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High — IQ signals intelligence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Corridors = key roads term</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Analytics and benchmarking tool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bCs/>
                <w:color w:val="534AB7"/>
                <w:sz w:val="20"/>
                <w:szCs w:val="20"/>
              </w:rPr>
              <w:t xml:space="preserve">RoadPulse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High — pulse = live data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Roads network context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Real-time monitoring and alerting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bCs/>
                <w:color w:val="3B6D11"/>
                <w:sz w:val="20"/>
                <w:szCs w:val="20"/>
              </w:rPr>
              <w:t xml:space="preserve">NetWatch AI</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Medium — network watching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Network management duty</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Compliance and oversight positioning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bCs/>
                <w:color w:val="BA7517"/>
                <w:sz w:val="20"/>
                <w:szCs w:val="20"/>
              </w:rPr>
              <w:t xml:space="preserve">PermitLens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High — lens = clarity on permits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Permit-centric framing</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Decision intelligence for permit officers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bCs/>
                <w:color w:val="5F5E5A"/>
                <w:sz w:val="20"/>
                <w:szCs w:val="20"/>
              </w:rPr>
              <w:t xml:space="preserve">WorkzoneIQ</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Medium — US-leaning term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Work zone = US/UK dual market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Dual-market (UK + US WZDx) positioning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bCs/>
                <w:color w:val="A32D2D"/>
                <w:sz w:val="20"/>
                <w:szCs w:val="20"/>
              </w:rPr>
              <w:t xml:space="preserve">StrataNet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Medium — strata = layers of data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Underground + surface layers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NUAR + Street Manager data fusion</w:t>
            </w:r>
          </w:p>
        </w:tc>
      </w:tr>
    </w:tbl>
    <w:p>
      <w:pPr>
        <w:spacing w:after="0" w:before="0"/>
      </w:pPr>
      <w:r>
        <w:t xml:space="preserve"/>
      </w:r>
    </w:p>
    <w:p>
      <w:pPr>
        <w:spacing w:after="80" w:before="80"/>
        <w:jc w:val="left"/>
      </w:pPr>
      <w:r>
        <w:rPr>
          <w:rFonts w:ascii="Arial" w:cs="Arial" w:eastAsia="Arial" w:hAnsi="Arial"/>
          <w:b w:val="false"/>
          <w:bCs w:val="false"/>
          <w:i w:val="false"/>
          <w:iCs w:val="false"/>
          <w:color w:val="1A1A1A"/>
          <w:sz w:val="22"/>
          <w:szCs w:val="22"/>
        </w:rPr>
        <w:t xml:space="preserve">Recommendation: StreetSense AI for its immediate comprehensibility to highways professionals, or Corridor IQ if positioning more explicitly as a decision-intelligence product. Both are available as .com and .co.uk domain variants at time of writing.</w:t>
      </w:r>
    </w:p>
    <w:p>
      <w:r>
        <w:br w:type="page"/>
      </w:r>
    </w:p>
    <w:p>
      <w:pPr>
        <w:pStyle w:val="Heading1"/>
        <w:pBdr>
          <w:bottom w:val="single" w:color="0F6E56" w:sz="6" w:space="4"/>
        </w:pBdr>
        <w:spacing w:after="160" w:before="360"/>
      </w:pPr>
      <w:r>
        <w:rPr>
          <w:rFonts w:ascii="Arial" w:cs="Arial" w:eastAsia="Arial" w:hAnsi="Arial"/>
          <w:b/>
          <w:bCs/>
          <w:color w:val="1B3A5C"/>
          <w:sz w:val="36"/>
          <w:szCs w:val="36"/>
        </w:rPr>
        <w:t xml:space="preserve">2. Master Problem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1"/>
              <w:left w:val="single" w:color="0F6E56" w:sz="1"/>
              <w:bottom w:val="single" w:color="0F6E56" w:sz="1"/>
              <w:right w:val="single" w:color="0F6E56" w:sz="1"/>
            </w:tcBorders>
            <w:shd w:fill="E6EFF6" w:val="clear"/>
            <w:tcMar>
              <w:top w:type="dxa" w:w="80"/>
              <w:left w:type="dxa" w:w="120"/>
              <w:bottom w:type="dxa" w:w="80"/>
              <w:right w:type="dxa" w:w="120"/>
            </w:tcMar>
            <w:vAlign w:val="center"/>
          </w:tcPr>
          <w:p>
            <w:pPr>
              <w:spacing w:after="80" w:before="80"/>
            </w:pPr>
            <w:r>
              <w:rPr>
                <w:rFonts w:ascii="Arial" w:cs="Arial" w:eastAsia="Arial" w:hAnsi="Arial"/>
                <w:b/>
                <w:bCs/>
                <w:color w:val="0F6E56"/>
                <w:sz w:val="20"/>
                <w:szCs w:val="20"/>
              </w:rPr>
              <w:t xml:space="preserve">THE CORE PROBLEM</w:t>
            </w:r>
          </w:p>
          <w:p>
            <w:pPr>
              <w:spacing w:after="120" w:before="80"/>
            </w:pPr>
            <w:r>
              <w:rPr>
                <w:rFonts w:ascii="Arial" w:cs="Arial" w:eastAsia="Arial" w:hAnsi="Arial"/>
                <w:color w:val="1A1A1A"/>
                <w:sz w:val="22"/>
                <w:szCs w:val="22"/>
              </w:rPr>
              <w:t xml:space="preserve">England generates over 2.5 million streetworks permits every year through Street Manager — covering utility works, highway maintenance, and road events across every local authority. This data is free, live, and open. Yet no product exists that turns it into cross-authority intelligence. Every highway authority sees only its own patch. Every utility promoter plans in isolation. Every permit officer makes decisions without knowing what is happening on the same corridor two boroughs away, without knowing the underground asset risk beneath the tarmac, and without any AI to explain what the data means or what they should do next. The DfT's own Street Manager roadmap confirms that native dashboards will not arrive until March 2027, that cross-authority coordination is permanently out of scope, and that Digital Traffic Orders integration with NUAR will not land until September 2027. That 16-month gap — between the data that exists today and the intelligence nobody has built — is the market StreetSense AI is designed to occupy.</w:t>
            </w:r>
          </w:p>
        </w:tc>
      </w:tr>
    </w:tbl>
    <w:p>
      <w:r>
        <w:br w:type="page"/>
      </w:r>
    </w:p>
    <w:p>
      <w:pPr>
        <w:pStyle w:val="Heading1"/>
        <w:pBdr>
          <w:bottom w:val="single" w:color="0F6E56" w:sz="6" w:space="4"/>
        </w:pBdr>
        <w:spacing w:after="160" w:before="360"/>
      </w:pPr>
      <w:r>
        <w:rPr>
          <w:rFonts w:ascii="Arial" w:cs="Arial" w:eastAsia="Arial" w:hAnsi="Arial"/>
          <w:b/>
          <w:bCs/>
          <w:color w:val="1B3A5C"/>
          <w:sz w:val="36"/>
          <w:szCs w:val="36"/>
        </w:rPr>
        <w:t xml:space="preserve">3. Phases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800"/>
        <w:gridCol w:w="1800"/>
        <w:gridCol w:w="2160"/>
      </w:tblGrid>
      <w:tr>
        <w:trPr>
          <w:tblHeader/>
        </w:trPr>
        <w:tc>
          <w:tcPr>
            <w:tcW w:type="dxa" w:w="1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Phase</w:t>
            </w:r>
          </w:p>
        </w:tc>
        <w:tc>
          <w:tcPr>
            <w:tcW w:type="dxa" w:w="24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Name</w:t>
            </w:r>
          </w:p>
        </w:tc>
        <w:tc>
          <w:tcPr>
            <w:tcW w:type="dxa" w:w="1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Timeline</w:t>
            </w:r>
          </w:p>
        </w:tc>
        <w:tc>
          <w:tcPr>
            <w:tcW w:type="dxa" w:w="1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Status</w:t>
            </w:r>
          </w:p>
        </w:tc>
        <w:tc>
          <w:tcPr>
            <w:tcW w:type="dxa" w:w="21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Primary Goal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bCs/>
                <w:color w:val="0F6E56"/>
                <w:sz w:val="20"/>
                <w:szCs w:val="20"/>
              </w:rPr>
              <w:t xml:space="preserve">Phase 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Foundation &amp; Open Data Ingestion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Weeks 1–4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Build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Consume Street Manager open data; store and serve corridor data</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bCs/>
                <w:color w:val="1B3A5C"/>
                <w:sz w:val="20"/>
                <w:szCs w:val="20"/>
              </w:rPr>
              <w:t xml:space="preserve">Phase 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Corridor Risk Engine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Weeks 5–8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Build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Score disruption risk per corridor and surface it on a public map</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bCs/>
                <w:color w:val="534AB7"/>
                <w:sz w:val="20"/>
                <w:szCs w:val="20"/>
              </w:rPr>
              <w:t xml:space="preserve">Phase 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AI Copilot Layer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Weeks 9–12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Build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Conversational AI answers plain-English questions over live road data</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bCs/>
                <w:color w:val="3B6D11"/>
                <w:sz w:val="20"/>
                <w:szCs w:val="20"/>
              </w:rPr>
              <w:t xml:space="preserve">Phase 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NUAR Underground Risk Integration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Weeks 13–18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Build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Overlay underground asset density to flag strike risk per permit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bCs/>
                <w:color w:val="BA7517"/>
                <w:sz w:val="20"/>
                <w:szCs w:val="20"/>
              </w:rPr>
              <w:t xml:space="preserve">Phase 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Non-Compliance Analytics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Weeks 19–22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Build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Benchmark promoters and authorities; surface systemic failures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bCs/>
                <w:color w:val="A32D2D"/>
                <w:sz w:val="20"/>
                <w:szCs w:val="20"/>
              </w:rPr>
              <w:t xml:space="preserve">Phase 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D-TRO Integration &amp; Market Launch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Weeks 23–28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Launch</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Add D-TRO data; launch publicly; initiate Causeway engagement</w:t>
            </w:r>
          </w:p>
        </w:tc>
      </w:tr>
    </w:tbl>
    <w:p>
      <w:r>
        <w:br w:type="page"/>
      </w:r>
    </w:p>
    <w:p>
      <w:pPr>
        <w:pStyle w:val="Heading1"/>
        <w:pBdr>
          <w:bottom w:val="single" w:color="0F6E56" w:sz="6" w:space="4"/>
        </w:pBdr>
        <w:spacing w:after="160" w:before="360"/>
      </w:pPr>
      <w:r>
        <w:rPr>
          <w:rFonts w:ascii="Arial" w:cs="Arial" w:eastAsia="Arial" w:hAnsi="Arial"/>
          <w:b/>
          <w:bCs/>
          <w:color w:val="1B3A5C"/>
          <w:sz w:val="36"/>
          <w:szCs w:val="36"/>
        </w:rPr>
        <w:t xml:space="preserve">4. Phase Detail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spacing w:after="60" w:before="60"/>
              <w:jc w:val="center"/>
            </w:pPr>
            <w:r>
              <w:rPr>
                <w:rFonts w:ascii="Arial" w:cs="Arial" w:eastAsia="Arial" w:hAnsi="Arial"/>
                <w:b/>
                <w:bCs/>
                <w:color w:val="FFFFFF"/>
                <w:sz w:val="28"/>
                <w:szCs w:val="28"/>
              </w:rPr>
              <w:t xml:space="preserve">PHASE 1</w:t>
            </w:r>
            <w:r>
              <w:rPr>
                <w:rFonts w:ascii="Arial" w:cs="Arial" w:eastAsia="Arial" w:hAnsi="Arial"/>
                <w:color w:val="FFFFFF"/>
                <w:sz w:val="18"/>
                <w:szCs w:val="18"/>
              </w:rPr>
              <w:br/>
              <w:t xml:space="preserve">
Weeks 1–4  |  Target: April–May 2026</w:t>
            </w:r>
          </w:p>
        </w:tc>
        <w:tc>
          <w:tcPr>
            <w:tcW w:type="dxa" w:w="756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spacing w:after="60" w:before="60"/>
            </w:pPr>
            <w:r>
              <w:rPr>
                <w:rFonts w:ascii="Arial" w:cs="Arial" w:eastAsia="Arial" w:hAnsi="Arial"/>
                <w:b/>
                <w:bCs/>
                <w:color w:val="FFFFFF"/>
                <w:sz w:val="26"/>
                <w:szCs w:val="26"/>
              </w:rPr>
              <w:t xml:space="preserve">Foundation &amp; Open Data Ingestion</w:t>
            </w:r>
          </w:p>
        </w:tc>
      </w:tr>
    </w:tbl>
    <w:p>
      <w:pPr>
        <w:spacing w:after="0" w:before="0"/>
      </w:pPr>
      <w:r>
        <w:t xml:space="preserve"/>
      </w:r>
    </w:p>
    <w:p>
      <w:pPr>
        <w:pStyle w:val="Heading3"/>
        <w:spacing w:after="80" w:before="200"/>
      </w:pPr>
      <w:r>
        <w:rPr>
          <w:rFonts w:ascii="Arial" w:cs="Arial" w:eastAsia="Arial" w:hAnsi="Arial"/>
          <w:b/>
          <w:bCs/>
          <w:color w:val="1B3A5C"/>
          <w:sz w:val="24"/>
          <w:szCs w:val="24"/>
        </w:rPr>
        <w:t xml:space="preserve">Problem Statement —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1"/>
              <w:left w:val="single" w:color="0F6E56" w:sz="1"/>
              <w:bottom w:val="single" w:color="0F6E56" w:sz="1"/>
              <w:right w:val="single" w:color="0F6E56" w:sz="1"/>
            </w:tcBorders>
            <w:shd w:fill="E1F5EE"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Highway authorities and utility companies generate millions of permit records through Street Manager every year, but this data sits in raw JSON event streams with no persistent store, no geospatial index, and no query layer that a product can build on. Before any intelligence can be delivered, the open data must be reliably ingested, normalised, geospatially enriched, and made queryable in near-real-time. Without this foundation, every subsequent phase is impossible.</w:t>
            </w:r>
          </w:p>
        </w:tc>
      </w:tr>
    </w:tbl>
    <w:p>
      <w:pPr>
        <w:spacing w:after="0" w:before="0"/>
      </w:pPr>
      <w:r>
        <w:t xml:space="preserve"/>
      </w:r>
    </w:p>
    <w:p>
      <w:pPr>
        <w:pStyle w:val="Heading3"/>
        <w:spacing w:after="80" w:before="200"/>
      </w:pPr>
      <w:r>
        <w:rPr>
          <w:rFonts w:ascii="Arial" w:cs="Arial" w:eastAsia="Arial" w:hAnsi="Arial"/>
          <w:b/>
          <w:bCs/>
          <w:color w:val="1B3A5C"/>
          <w:sz w:val="24"/>
          <w:szCs w:val="24"/>
        </w:rPr>
        <w:t xml:space="preserve">Modules</w:t>
      </w:r>
    </w:p>
    <w:p>
      <w:pPr>
        <w:pStyle w:val="ListParagraph"/>
        <w:numPr>
          <w:ilvl w:val="0"/>
          <w:numId w:val="2"/>
        </w:numPr>
        <w:spacing w:after="40" w:before="40"/>
      </w:pPr>
      <w:r>
        <w:rPr>
          <w:rFonts w:ascii="Arial" w:cs="Arial" w:eastAsia="Arial" w:hAnsi="Arial"/>
          <w:b w:val="false"/>
          <w:bCs w:val="false"/>
          <w:color w:val="1A1A1A"/>
          <w:sz w:val="22"/>
          <w:szCs w:val="22"/>
        </w:rPr>
        <w:t xml:space="preserve">SM-001: Street Manager Open Data stream subscriber (SNS/SQS event consumer)</w:t>
      </w:r>
    </w:p>
    <w:p>
      <w:pPr>
        <w:pStyle w:val="ListParagraph"/>
        <w:numPr>
          <w:ilvl w:val="0"/>
          <w:numId w:val="2"/>
        </w:numPr>
        <w:spacing w:after="40" w:before="40"/>
      </w:pPr>
      <w:r>
        <w:rPr>
          <w:rFonts w:ascii="Arial" w:cs="Arial" w:eastAsia="Arial" w:hAnsi="Arial"/>
          <w:b w:val="false"/>
          <w:bCs w:val="false"/>
          <w:color w:val="1A1A1A"/>
          <w:sz w:val="22"/>
          <w:szCs w:val="22"/>
        </w:rPr>
        <w:t xml:space="preserve">SM-002: PostgreSQL + PostGIS data store with USRN-indexed works table</w:t>
      </w:r>
    </w:p>
    <w:p>
      <w:pPr>
        <w:pStyle w:val="ListParagraph"/>
        <w:numPr>
          <w:ilvl w:val="0"/>
          <w:numId w:val="2"/>
        </w:numPr>
        <w:spacing w:after="40" w:before="40"/>
      </w:pPr>
      <w:r>
        <w:rPr>
          <w:rFonts w:ascii="Arial" w:cs="Arial" w:eastAsia="Arial" w:hAnsi="Arial"/>
          <w:b w:val="false"/>
          <w:bCs w:val="false"/>
          <w:color w:val="1A1A1A"/>
          <w:sz w:val="22"/>
          <w:szCs w:val="22"/>
        </w:rPr>
        <w:t xml:space="preserve">SM-003: USRN resolver via OS National Street Gazetteer / DataVia API</w:t>
      </w:r>
    </w:p>
    <w:p>
      <w:pPr>
        <w:pStyle w:val="ListParagraph"/>
        <w:numPr>
          <w:ilvl w:val="0"/>
          <w:numId w:val="2"/>
        </w:numPr>
        <w:spacing w:after="40" w:before="40"/>
      </w:pPr>
      <w:r>
        <w:rPr>
          <w:rFonts w:ascii="Arial" w:cs="Arial" w:eastAsia="Arial" w:hAnsi="Arial"/>
          <w:b w:val="false"/>
          <w:bCs w:val="false"/>
          <w:color w:val="1A1A1A"/>
          <w:sz w:val="22"/>
          <w:szCs w:val="22"/>
        </w:rPr>
        <w:t xml:space="preserve">SM-004: Road classification enrichment using OS Open Roads dataset</w:t>
      </w:r>
    </w:p>
    <w:p>
      <w:pPr>
        <w:pStyle w:val="ListParagraph"/>
        <w:numPr>
          <w:ilvl w:val="0"/>
          <w:numId w:val="2"/>
        </w:numPr>
        <w:spacing w:after="40" w:before="40"/>
      </w:pPr>
      <w:r>
        <w:rPr>
          <w:rFonts w:ascii="Arial" w:cs="Arial" w:eastAsia="Arial" w:hAnsi="Arial"/>
          <w:b w:val="false"/>
          <w:bCs w:val="false"/>
          <w:color w:val="1A1A1A"/>
          <w:sz w:val="22"/>
          <w:szCs w:val="22"/>
        </w:rPr>
        <w:t xml:space="preserve">SM-005: Background refresh job — 15-minute polling fallback</w:t>
      </w:r>
    </w:p>
    <w:p>
      <w:pPr>
        <w:pStyle w:val="ListParagraph"/>
        <w:numPr>
          <w:ilvl w:val="0"/>
          <w:numId w:val="2"/>
        </w:numPr>
        <w:spacing w:after="40" w:before="40"/>
      </w:pPr>
      <w:r>
        <w:rPr>
          <w:rFonts w:ascii="Arial" w:cs="Arial" w:eastAsia="Arial" w:hAnsi="Arial"/>
          <w:b w:val="false"/>
          <w:bCs w:val="false"/>
          <w:color w:val="1A1A1A"/>
          <w:sz w:val="22"/>
          <w:szCs w:val="22"/>
        </w:rPr>
        <w:t xml:space="preserve">SM-006: Basic REST API (FastAPI) — query works by USRN, bounding box, date range</w:t>
      </w:r>
    </w:p>
    <w:p>
      <w:pPr>
        <w:pStyle w:val="ListParagraph"/>
        <w:numPr>
          <w:ilvl w:val="0"/>
          <w:numId w:val="2"/>
        </w:numPr>
        <w:spacing w:after="40" w:before="40"/>
      </w:pPr>
      <w:r>
        <w:rPr>
          <w:rFonts w:ascii="Arial" w:cs="Arial" w:eastAsia="Arial" w:hAnsi="Arial"/>
          <w:b w:val="false"/>
          <w:bCs w:val="false"/>
          <w:color w:val="1A1A1A"/>
          <w:sz w:val="22"/>
          <w:szCs w:val="22"/>
        </w:rPr>
        <w:t xml:space="preserve">SM-007: Health dashboard — ingestion rate, data freshness, error rate</w:t>
      </w:r>
    </w:p>
    <w:p>
      <w:pPr>
        <w:spacing w:after="0" w:before="0"/>
      </w:pPr>
      <w:r>
        <w:t xml:space="preserve"/>
      </w:r>
    </w:p>
    <w:p>
      <w:pPr>
        <w:pStyle w:val="Heading3"/>
        <w:spacing w:after="80" w:before="200"/>
      </w:pPr>
      <w:r>
        <w:rPr>
          <w:rFonts w:ascii="Arial" w:cs="Arial" w:eastAsia="Arial" w:hAnsi="Arial"/>
          <w:b/>
          <w:bCs/>
          <w:color w:val="1B3A5C"/>
          <w:sz w:val="24"/>
          <w:szCs w:val="24"/>
        </w:rPr>
        <w:t xml:space="preserve">Success Matrix —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1680"/>
        <w:gridCol w:w="1680"/>
      </w:tblGrid>
      <w:tr>
        <w:trPr>
          <w:tblHeader/>
        </w:trPr>
        <w:tc>
          <w:tcPr>
            <w:tcW w:type="dxa" w:w="32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Metric</w:t>
            </w:r>
          </w:p>
        </w:tc>
        <w:tc>
          <w:tcPr>
            <w:tcW w:type="dxa" w:w="28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Target</w:t>
            </w:r>
          </w:p>
        </w:tc>
        <w:tc>
          <w:tcPr>
            <w:tcW w:type="dxa" w:w="168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Measurement</w:t>
            </w:r>
          </w:p>
        </w:tc>
        <w:tc>
          <w:tcPr>
            <w:tcW w:type="dxa" w:w="168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Owner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Data ingestion latency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&lt;5 minutes from Street Manager event</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Monitoring log</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Engineer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USRN resolution accuracy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&gt;95% of street names resolved</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Test suite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Engineer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Data completeness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100% of England permit types captured</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Schema validation</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Engineer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API response time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&lt;200ms for bounding-box query</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Load test</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Engineer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Uptime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&gt;99% over 7-day rolling window</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UptimeRobot</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Engineer</w:t>
            </w:r>
          </w:p>
        </w:tc>
      </w:tr>
    </w:tbl>
    <w:p>
      <w:pPr>
        <w:spacing w:after="0" w:before="0"/>
      </w:pPr>
      <w:r>
        <w:t xml:space="preserve"/>
      </w:r>
    </w:p>
    <w:p>
      <w:pPr>
        <w:pStyle w:val="Heading3"/>
        <w:spacing w:after="80" w:before="200"/>
      </w:pPr>
      <w:r>
        <w:rPr>
          <w:rFonts w:ascii="Arial" w:cs="Arial" w:eastAsia="Arial" w:hAnsi="Arial"/>
          <w:b/>
          <w:bCs/>
          <w:color w:val="1B3A5C"/>
          <w:sz w:val="24"/>
          <w:szCs w:val="24"/>
        </w:rPr>
        <w:t xml:space="preserve">APIs Used in Phase 1</w:t>
      </w:r>
    </w:p>
    <w:p>
      <w:pPr>
        <w:pStyle w:val="ListParagraph"/>
        <w:numPr>
          <w:ilvl w:val="0"/>
          <w:numId w:val="2"/>
        </w:numPr>
        <w:spacing w:after="40" w:before="40"/>
      </w:pPr>
      <w:r>
        <w:rPr>
          <w:rFonts w:ascii="Arial" w:cs="Arial" w:eastAsia="Arial" w:hAnsi="Arial"/>
          <w:b w:val="false"/>
          <w:bCs w:val="false"/>
          <w:color w:val="1A1A1A"/>
          <w:sz w:val="22"/>
          <w:szCs w:val="22"/>
        </w:rPr>
        <w:t xml:space="preserve">Street Manager Open Data API — event subscription (SNS), permit data</w:t>
      </w:r>
    </w:p>
    <w:p>
      <w:pPr>
        <w:pStyle w:val="ListParagraph"/>
        <w:numPr>
          <w:ilvl w:val="0"/>
          <w:numId w:val="2"/>
        </w:numPr>
        <w:spacing w:after="40" w:before="40"/>
      </w:pPr>
      <w:r>
        <w:rPr>
          <w:rFonts w:ascii="Arial" w:cs="Arial" w:eastAsia="Arial" w:hAnsi="Arial"/>
          <w:b w:val="false"/>
          <w:bCs w:val="false"/>
          <w:color w:val="1A1A1A"/>
          <w:sz w:val="22"/>
          <w:szCs w:val="22"/>
        </w:rPr>
        <w:t xml:space="preserve">OS Data Hub — National Street Gazetteer (USRN resolution)</w:t>
      </w:r>
    </w:p>
    <w:p>
      <w:pPr>
        <w:pStyle w:val="ListParagraph"/>
        <w:numPr>
          <w:ilvl w:val="0"/>
          <w:numId w:val="2"/>
        </w:numPr>
        <w:spacing w:after="40" w:before="40"/>
      </w:pPr>
      <w:r>
        <w:rPr>
          <w:rFonts w:ascii="Arial" w:cs="Arial" w:eastAsia="Arial" w:hAnsi="Arial"/>
          <w:b w:val="false"/>
          <w:bCs w:val="false"/>
          <w:color w:val="1A1A1A"/>
          <w:sz w:val="22"/>
          <w:szCs w:val="22"/>
        </w:rPr>
        <w:t xml:space="preserve">OS Open Roads — road classification and geometry</w:t>
      </w:r>
    </w:p>
    <w:p>
      <w:pPr>
        <w:pStyle w:val="ListParagraph"/>
        <w:numPr>
          <w:ilvl w:val="0"/>
          <w:numId w:val="2"/>
        </w:numPr>
        <w:spacing w:after="40" w:before="40"/>
      </w:pPr>
      <w:r>
        <w:rPr>
          <w:rFonts w:ascii="Arial" w:cs="Arial" w:eastAsia="Arial" w:hAnsi="Arial"/>
          <w:b w:val="false"/>
          <w:bCs w:val="false"/>
          <w:color w:val="1A1A1A"/>
          <w:sz w:val="22"/>
          <w:szCs w:val="22"/>
        </w:rPr>
        <w:t xml:space="preserve">DataVia NSG API — NSG migration target (Phase 13 of Street Manager roadmap)</w:t>
      </w:r>
    </w:p>
    <w:p>
      <w:pPr>
        <w:spacing w:after="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spacing w:after="60" w:before="60"/>
              <w:jc w:val="center"/>
            </w:pPr>
            <w:r>
              <w:rPr>
                <w:rFonts w:ascii="Arial" w:cs="Arial" w:eastAsia="Arial" w:hAnsi="Arial"/>
                <w:b/>
                <w:bCs/>
                <w:color w:val="FFFFFF"/>
                <w:sz w:val="28"/>
                <w:szCs w:val="28"/>
              </w:rPr>
              <w:t xml:space="preserve">PHASE 2</w:t>
            </w:r>
            <w:r>
              <w:rPr>
                <w:rFonts w:ascii="Arial" w:cs="Arial" w:eastAsia="Arial" w:hAnsi="Arial"/>
                <w:color w:val="FFFFFF"/>
                <w:sz w:val="18"/>
                <w:szCs w:val="18"/>
              </w:rPr>
              <w:br/>
              <w:t xml:space="preserve">
Weeks 5–8  |  Target: June–July 2026</w:t>
            </w:r>
          </w:p>
        </w:tc>
        <w:tc>
          <w:tcPr>
            <w:tcW w:type="dxa" w:w="75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spacing w:after="60" w:before="60"/>
            </w:pPr>
            <w:r>
              <w:rPr>
                <w:rFonts w:ascii="Arial" w:cs="Arial" w:eastAsia="Arial" w:hAnsi="Arial"/>
                <w:b/>
                <w:bCs/>
                <w:color w:val="FFFFFF"/>
                <w:sz w:val="26"/>
                <w:szCs w:val="26"/>
              </w:rPr>
              <w:t xml:space="preserve">Corridor Risk Engine</w:t>
            </w:r>
          </w:p>
        </w:tc>
      </w:tr>
    </w:tbl>
    <w:p>
      <w:pPr>
        <w:spacing w:after="0" w:before="0"/>
      </w:pPr>
      <w:r>
        <w:t xml:space="preserve"/>
      </w:r>
    </w:p>
    <w:p>
      <w:pPr>
        <w:pStyle w:val="Heading3"/>
        <w:spacing w:after="80" w:before="200"/>
      </w:pPr>
      <w:r>
        <w:rPr>
          <w:rFonts w:ascii="Arial" w:cs="Arial" w:eastAsia="Arial" w:hAnsi="Arial"/>
          <w:b/>
          <w:bCs/>
          <w:color w:val="1B3A5C"/>
          <w:sz w:val="24"/>
          <w:szCs w:val="24"/>
        </w:rPr>
        <w:t xml:space="preserve">Problem Statement —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E6EFF6"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Permit officers and network coordinators have no way to understand the cumulative impact of concurrent works on strategic road corridors. A single works on a major A-road is manageable. Four concurrent utility and highway works on the same corridor across two authority boundaries — with overlapping lane restrictions, during school term time — is a critical disruption risk. No tool currently scores this. Street Manager shows individual permits; nobody shows the corridor-level compounding effect. Officers are making approval decisions blind to the bigger picture.</w:t>
            </w:r>
          </w:p>
        </w:tc>
      </w:tr>
    </w:tbl>
    <w:p>
      <w:pPr>
        <w:spacing w:after="0" w:before="0"/>
      </w:pPr>
      <w:r>
        <w:t xml:space="preserve"/>
      </w:r>
    </w:p>
    <w:p>
      <w:pPr>
        <w:pStyle w:val="Heading3"/>
        <w:spacing w:after="80" w:before="200"/>
      </w:pPr>
      <w:r>
        <w:rPr>
          <w:rFonts w:ascii="Arial" w:cs="Arial" w:eastAsia="Arial" w:hAnsi="Arial"/>
          <w:b/>
          <w:bCs/>
          <w:color w:val="1B3A5C"/>
          <w:sz w:val="24"/>
          <w:szCs w:val="24"/>
        </w:rPr>
        <w:t xml:space="preserve">Modules</w:t>
      </w:r>
    </w:p>
    <w:p>
      <w:pPr>
        <w:pStyle w:val="ListParagraph"/>
        <w:numPr>
          <w:ilvl w:val="0"/>
          <w:numId w:val="2"/>
        </w:numPr>
        <w:spacing w:after="40" w:before="40"/>
      </w:pPr>
      <w:r>
        <w:rPr>
          <w:rFonts w:ascii="Arial" w:cs="Arial" w:eastAsia="Arial" w:hAnsi="Arial"/>
          <w:b w:val="false"/>
          <w:bCs w:val="false"/>
          <w:color w:val="1A1A1A"/>
          <w:sz w:val="22"/>
          <w:szCs w:val="22"/>
        </w:rPr>
        <w:t xml:space="preserve">CR-001: Corridor definition engine — segment A-roads, B-roads and key urban routes from OS Open Roads</w:t>
      </w:r>
    </w:p>
    <w:p>
      <w:pPr>
        <w:pStyle w:val="ListParagraph"/>
        <w:numPr>
          <w:ilvl w:val="0"/>
          <w:numId w:val="2"/>
        </w:numPr>
        <w:spacing w:after="40" w:before="40"/>
      </w:pPr>
      <w:r>
        <w:rPr>
          <w:rFonts w:ascii="Arial" w:cs="Arial" w:eastAsia="Arial" w:hAnsi="Arial"/>
          <w:b w:val="false"/>
          <w:bCs w:val="false"/>
          <w:color w:val="1A1A1A"/>
          <w:sz w:val="22"/>
          <w:szCs w:val="22"/>
        </w:rPr>
        <w:t xml:space="preserve">CR-002: Works clustering — spatial join of active/planned permits to corridor segments</w:t>
      </w:r>
    </w:p>
    <w:p>
      <w:pPr>
        <w:pStyle w:val="ListParagraph"/>
        <w:numPr>
          <w:ilvl w:val="0"/>
          <w:numId w:val="2"/>
        </w:numPr>
        <w:spacing w:after="40" w:before="40"/>
      </w:pPr>
      <w:r>
        <w:rPr>
          <w:rFonts w:ascii="Arial" w:cs="Arial" w:eastAsia="Arial" w:hAnsi="Arial"/>
          <w:b w:val="false"/>
          <w:bCs w:val="false"/>
          <w:color w:val="1A1A1A"/>
          <w:sz w:val="22"/>
          <w:szCs w:val="22"/>
        </w:rPr>
        <w:t xml:space="preserve">CR-003: Disruption risk scoring algorithm — weighted formula: works count x road class weight x overlap duration x restriction severity</w:t>
      </w:r>
    </w:p>
    <w:p>
      <w:pPr>
        <w:pStyle w:val="ListParagraph"/>
        <w:numPr>
          <w:ilvl w:val="0"/>
          <w:numId w:val="2"/>
        </w:numPr>
        <w:spacing w:after="40" w:before="40"/>
      </w:pPr>
      <w:r>
        <w:rPr>
          <w:rFonts w:ascii="Arial" w:cs="Arial" w:eastAsia="Arial" w:hAnsi="Arial"/>
          <w:b w:val="false"/>
          <w:bCs w:val="false"/>
          <w:color w:val="1A1A1A"/>
          <w:sz w:val="22"/>
          <w:szCs w:val="22"/>
        </w:rPr>
        <w:t xml:space="preserve">CR-004: Risk classification — Low / Medium / High / Critical thresholds with justification text</w:t>
      </w:r>
    </w:p>
    <w:p>
      <w:pPr>
        <w:pStyle w:val="ListParagraph"/>
        <w:numPr>
          <w:ilvl w:val="0"/>
          <w:numId w:val="2"/>
        </w:numPr>
        <w:spacing w:after="40" w:before="40"/>
      </w:pPr>
      <w:r>
        <w:rPr>
          <w:rFonts w:ascii="Arial" w:cs="Arial" w:eastAsia="Arial" w:hAnsi="Arial"/>
          <w:b w:val="false"/>
          <w:bCs w:val="false"/>
          <w:color w:val="1A1A1A"/>
          <w:sz w:val="22"/>
          <w:szCs w:val="22"/>
        </w:rPr>
        <w:t xml:space="preserve">CR-005: Public map interface — Mapbox GL JS, corridor heat map overlay, permit markers</w:t>
      </w:r>
    </w:p>
    <w:p>
      <w:pPr>
        <w:pStyle w:val="ListParagraph"/>
        <w:numPr>
          <w:ilvl w:val="0"/>
          <w:numId w:val="2"/>
        </w:numPr>
        <w:spacing w:after="40" w:before="40"/>
      </w:pPr>
      <w:r>
        <w:rPr>
          <w:rFonts w:ascii="Arial" w:cs="Arial" w:eastAsia="Arial" w:hAnsi="Arial"/>
          <w:b w:val="false"/>
          <w:bCs w:val="false"/>
          <w:color w:val="1A1A1A"/>
          <w:sz w:val="22"/>
          <w:szCs w:val="22"/>
        </w:rPr>
        <w:t xml:space="preserve">CR-006: Corridor detail panel — click corridor to see all concurrent works, risk breakdown, promoter list</w:t>
      </w:r>
    </w:p>
    <w:p>
      <w:pPr>
        <w:pStyle w:val="ListParagraph"/>
        <w:numPr>
          <w:ilvl w:val="0"/>
          <w:numId w:val="2"/>
        </w:numPr>
        <w:spacing w:after="40" w:before="40"/>
      </w:pPr>
      <w:r>
        <w:rPr>
          <w:rFonts w:ascii="Arial" w:cs="Arial" w:eastAsia="Arial" w:hAnsi="Arial"/>
          <w:b w:val="false"/>
          <w:bCs w:val="false"/>
          <w:color w:val="1A1A1A"/>
          <w:sz w:val="22"/>
          <w:szCs w:val="22"/>
        </w:rPr>
        <w:t xml:space="preserve">CR-007: Time-window slider — filter risk view by date range (next 7 / 14 / 30 / 60 days)</w:t>
      </w:r>
    </w:p>
    <w:p>
      <w:pPr>
        <w:spacing w:after="0" w:before="0"/>
      </w:pPr>
      <w:r>
        <w:t xml:space="preserve"/>
      </w:r>
    </w:p>
    <w:p>
      <w:pPr>
        <w:pStyle w:val="Heading3"/>
        <w:spacing w:after="80" w:before="200"/>
      </w:pPr>
      <w:r>
        <w:rPr>
          <w:rFonts w:ascii="Arial" w:cs="Arial" w:eastAsia="Arial" w:hAnsi="Arial"/>
          <w:b/>
          <w:bCs/>
          <w:color w:val="1B3A5C"/>
          <w:sz w:val="24"/>
          <w:szCs w:val="24"/>
        </w:rPr>
        <w:t xml:space="preserve">Success Matrix —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1680"/>
        <w:gridCol w:w="1680"/>
      </w:tblGrid>
      <w:tr>
        <w:trPr>
          <w:tblHeader/>
        </w:trPr>
        <w:tc>
          <w:tcPr>
            <w:tcW w:type="dxa" w:w="3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Metric</w:t>
            </w:r>
          </w:p>
        </w:tc>
        <w:tc>
          <w:tcPr>
            <w:tcW w:type="dxa" w:w="2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Target</w:t>
            </w:r>
          </w:p>
        </w:tc>
        <w:tc>
          <w:tcPr>
            <w:tcW w:type="dxa" w:w="168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Measurement</w:t>
            </w:r>
          </w:p>
        </w:tc>
        <w:tc>
          <w:tcPr>
            <w:tcW w:type="dxa" w:w="168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Owner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Corridors scored nationally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All A-roads and key B-roads in England</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Database count</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Engineer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Risk score accuracy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Validated against 3 known disruption events</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Manual review</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Founder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Map load time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&lt;2 seconds on standard broadband</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Lighthouse score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Engineer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Public demo users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50 unique visitors in first 2 weeks post-launch</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Analytics</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Founder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LinkedIn engagement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1 post reaching &gt;500 impressions in highways community</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LinkedIn analytics</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Founder</w:t>
            </w:r>
          </w:p>
        </w:tc>
      </w:tr>
    </w:tbl>
    <w:p>
      <w:pPr>
        <w:spacing w:after="0" w:before="0"/>
      </w:pPr>
      <w:r>
        <w:t xml:space="preserve"/>
      </w:r>
    </w:p>
    <w:p>
      <w:pPr>
        <w:pStyle w:val="Heading3"/>
        <w:spacing w:after="80" w:before="200"/>
      </w:pPr>
      <w:r>
        <w:rPr>
          <w:rFonts w:ascii="Arial" w:cs="Arial" w:eastAsia="Arial" w:hAnsi="Arial"/>
          <w:b/>
          <w:bCs/>
          <w:color w:val="1B3A5C"/>
          <w:sz w:val="24"/>
          <w:szCs w:val="24"/>
        </w:rPr>
        <w:t xml:space="preserve">APIs Used in Phase 2</w:t>
      </w:r>
    </w:p>
    <w:p>
      <w:pPr>
        <w:pStyle w:val="ListParagraph"/>
        <w:numPr>
          <w:ilvl w:val="0"/>
          <w:numId w:val="2"/>
        </w:numPr>
        <w:spacing w:after="40" w:before="40"/>
      </w:pPr>
      <w:r>
        <w:rPr>
          <w:rFonts w:ascii="Arial" w:cs="Arial" w:eastAsia="Arial" w:hAnsi="Arial"/>
          <w:b w:val="false"/>
          <w:bCs w:val="false"/>
          <w:color w:val="1A1A1A"/>
          <w:sz w:val="22"/>
          <w:szCs w:val="22"/>
        </w:rPr>
        <w:t xml:space="preserve">Street Manager Open Data API — active and planned works for corridor overlay</w:t>
      </w:r>
    </w:p>
    <w:p>
      <w:pPr>
        <w:pStyle w:val="ListParagraph"/>
        <w:numPr>
          <w:ilvl w:val="0"/>
          <w:numId w:val="2"/>
        </w:numPr>
        <w:spacing w:after="40" w:before="40"/>
      </w:pPr>
      <w:r>
        <w:rPr>
          <w:rFonts w:ascii="Arial" w:cs="Arial" w:eastAsia="Arial" w:hAnsi="Arial"/>
          <w:b w:val="false"/>
          <w:bCs w:val="false"/>
          <w:color w:val="1A1A1A"/>
          <w:sz w:val="22"/>
          <w:szCs w:val="22"/>
        </w:rPr>
        <w:t xml:space="preserve">OS Open Roads API — corridor geometry and road classification</w:t>
      </w:r>
    </w:p>
    <w:p>
      <w:pPr>
        <w:pStyle w:val="ListParagraph"/>
        <w:numPr>
          <w:ilvl w:val="0"/>
          <w:numId w:val="2"/>
        </w:numPr>
        <w:spacing w:after="40" w:before="40"/>
      </w:pPr>
      <w:r>
        <w:rPr>
          <w:rFonts w:ascii="Arial" w:cs="Arial" w:eastAsia="Arial" w:hAnsi="Arial"/>
          <w:b w:val="false"/>
          <w:bCs w:val="false"/>
          <w:color w:val="1A1A1A"/>
          <w:sz w:val="22"/>
          <w:szCs w:val="22"/>
        </w:rPr>
        <w:t xml:space="preserve">Mapbox GL JS — map rendering (free tier: 50,000 map loads/month)</w:t>
      </w:r>
    </w:p>
    <w:p>
      <w:pPr>
        <w:pStyle w:val="ListParagraph"/>
        <w:numPr>
          <w:ilvl w:val="0"/>
          <w:numId w:val="2"/>
        </w:numPr>
        <w:spacing w:after="40" w:before="40"/>
      </w:pPr>
      <w:r>
        <w:rPr>
          <w:rFonts w:ascii="Arial" w:cs="Arial" w:eastAsia="Arial" w:hAnsi="Arial"/>
          <w:b w:val="false"/>
          <w:bCs w:val="false"/>
          <w:color w:val="1A1A1A"/>
          <w:sz w:val="22"/>
          <w:szCs w:val="22"/>
        </w:rPr>
        <w:t xml:space="preserve">OS Data Hub — USRN to geometry resolution for permit pinning</w:t>
      </w:r>
    </w:p>
    <w:p>
      <w:pPr>
        <w:spacing w:after="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534AB7" w:sz="1"/>
              <w:left w:val="single" w:color="534AB7" w:sz="1"/>
              <w:bottom w:val="single" w:color="534AB7" w:sz="1"/>
              <w:right w:val="single" w:color="534AB7" w:sz="1"/>
            </w:tcBorders>
            <w:shd w:fill="534AB7" w:val="clear"/>
            <w:tcMar>
              <w:top w:type="dxa" w:w="80"/>
              <w:left w:type="dxa" w:w="120"/>
              <w:bottom w:type="dxa" w:w="80"/>
              <w:right w:type="dxa" w:w="120"/>
            </w:tcMar>
            <w:vAlign w:val="center"/>
          </w:tcPr>
          <w:p>
            <w:pPr>
              <w:spacing w:after="60" w:before="60"/>
              <w:jc w:val="center"/>
            </w:pPr>
            <w:r>
              <w:rPr>
                <w:rFonts w:ascii="Arial" w:cs="Arial" w:eastAsia="Arial" w:hAnsi="Arial"/>
                <w:b/>
                <w:bCs/>
                <w:color w:val="FFFFFF"/>
                <w:sz w:val="28"/>
                <w:szCs w:val="28"/>
              </w:rPr>
              <w:t xml:space="preserve">PHASE 3</w:t>
            </w:r>
            <w:r>
              <w:rPr>
                <w:rFonts w:ascii="Arial" w:cs="Arial" w:eastAsia="Arial" w:hAnsi="Arial"/>
                <w:color w:val="FFFFFF"/>
                <w:sz w:val="18"/>
                <w:szCs w:val="18"/>
              </w:rPr>
              <w:br/>
              <w:t xml:space="preserve">
Weeks 9–12  |  Target: August–September 2026</w:t>
            </w:r>
          </w:p>
        </w:tc>
        <w:tc>
          <w:tcPr>
            <w:tcW w:type="dxa" w:w="7560"/>
            <w:tcBorders>
              <w:top w:val="single" w:color="534AB7" w:sz="1"/>
              <w:left w:val="single" w:color="534AB7" w:sz="1"/>
              <w:bottom w:val="single" w:color="534AB7" w:sz="1"/>
              <w:right w:val="single" w:color="534AB7" w:sz="1"/>
            </w:tcBorders>
            <w:shd w:fill="534AB7" w:val="clear"/>
            <w:tcMar>
              <w:top w:type="dxa" w:w="80"/>
              <w:left w:type="dxa" w:w="120"/>
              <w:bottom w:type="dxa" w:w="80"/>
              <w:right w:type="dxa" w:w="120"/>
            </w:tcMar>
            <w:vAlign w:val="center"/>
          </w:tcPr>
          <w:p>
            <w:pPr>
              <w:spacing w:after="60" w:before="60"/>
            </w:pPr>
            <w:r>
              <w:rPr>
                <w:rFonts w:ascii="Arial" w:cs="Arial" w:eastAsia="Arial" w:hAnsi="Arial"/>
                <w:b/>
                <w:bCs/>
                <w:color w:val="FFFFFF"/>
                <w:sz w:val="26"/>
                <w:szCs w:val="26"/>
              </w:rPr>
              <w:t xml:space="preserve">AI Copilot Layer</w:t>
            </w:r>
          </w:p>
        </w:tc>
      </w:tr>
    </w:tbl>
    <w:p>
      <w:pPr>
        <w:spacing w:after="0" w:before="0"/>
      </w:pPr>
      <w:r>
        <w:t xml:space="preserve"/>
      </w:r>
    </w:p>
    <w:p>
      <w:pPr>
        <w:pStyle w:val="Heading3"/>
        <w:spacing w:after="80" w:before="200"/>
      </w:pPr>
      <w:r>
        <w:rPr>
          <w:rFonts w:ascii="Arial" w:cs="Arial" w:eastAsia="Arial" w:hAnsi="Arial"/>
          <w:b/>
          <w:bCs/>
          <w:color w:val="1B3A5C"/>
          <w:sz w:val="24"/>
          <w:szCs w:val="24"/>
        </w:rPr>
        <w:t xml:space="preserve">Problem Statement — Phase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4AB7" w:sz="1"/>
              <w:left w:val="single" w:color="534AB7" w:sz="1"/>
              <w:bottom w:val="single" w:color="534AB7" w:sz="1"/>
              <w:right w:val="single" w:color="534AB7" w:sz="1"/>
            </w:tcBorders>
            <w:shd w:fill="EEEDFE"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Highway authority officers and permit managers are data-rich and insight-poor. They can see a map of works and a list of permits. What they cannot do is ask a question and get a specific, grounded answer. "What else is planned on the A38 in Birmingham next month?" requires a manual search across multiple records. "Which promoter has the worst overrun record in this borough?" is currently unanswerable. "Is there a better two-week window for these works?" requires manual cross-referencing. An AI copilot that can answer these questions in plain English — grounded in live Street Manager data, not general knowledge — does not exist in any product today. The DfT's own alerting feature ("Where next") is not scheduled until September 2027.</w:t>
            </w:r>
          </w:p>
        </w:tc>
      </w:tr>
    </w:tbl>
    <w:p>
      <w:pPr>
        <w:spacing w:after="0" w:before="0"/>
      </w:pPr>
      <w:r>
        <w:t xml:space="preserve"/>
      </w:r>
    </w:p>
    <w:p>
      <w:pPr>
        <w:pStyle w:val="Heading3"/>
        <w:spacing w:after="80" w:before="200"/>
      </w:pPr>
      <w:r>
        <w:rPr>
          <w:rFonts w:ascii="Arial" w:cs="Arial" w:eastAsia="Arial" w:hAnsi="Arial"/>
          <w:b/>
          <w:bCs/>
          <w:color w:val="1B3A5C"/>
          <w:sz w:val="24"/>
          <w:szCs w:val="24"/>
        </w:rPr>
        <w:t xml:space="preserve">Modules</w:t>
      </w:r>
    </w:p>
    <w:p>
      <w:pPr>
        <w:pStyle w:val="ListParagraph"/>
        <w:numPr>
          <w:ilvl w:val="0"/>
          <w:numId w:val="2"/>
        </w:numPr>
        <w:spacing w:after="40" w:before="40"/>
      </w:pPr>
      <w:r>
        <w:rPr>
          <w:rFonts w:ascii="Arial" w:cs="Arial" w:eastAsia="Arial" w:hAnsi="Arial"/>
          <w:b w:val="false"/>
          <w:bCs w:val="false"/>
          <w:color w:val="1A1A1A"/>
          <w:sz w:val="22"/>
          <w:szCs w:val="22"/>
        </w:rPr>
        <w:t xml:space="preserve">AI-001: LangChain agent with Street Manager query tools (works lookup, corridor query, promoter stats)</w:t>
      </w:r>
    </w:p>
    <w:p>
      <w:pPr>
        <w:pStyle w:val="ListParagraph"/>
        <w:numPr>
          <w:ilvl w:val="0"/>
          <w:numId w:val="2"/>
        </w:numPr>
        <w:spacing w:after="40" w:before="40"/>
      </w:pPr>
      <w:r>
        <w:rPr>
          <w:rFonts w:ascii="Arial" w:cs="Arial" w:eastAsia="Arial" w:hAnsi="Arial"/>
          <w:b w:val="false"/>
          <w:bCs w:val="false"/>
          <w:color w:val="1A1A1A"/>
          <w:sz w:val="22"/>
          <w:szCs w:val="22"/>
        </w:rPr>
        <w:t xml:space="preserve">AI-002: Conversational UI panel — embedded in map interface, collapsible sidebar</w:t>
      </w:r>
    </w:p>
    <w:p>
      <w:pPr>
        <w:pStyle w:val="ListParagraph"/>
        <w:numPr>
          <w:ilvl w:val="0"/>
          <w:numId w:val="2"/>
        </w:numPr>
        <w:spacing w:after="40" w:before="40"/>
      </w:pPr>
      <w:r>
        <w:rPr>
          <w:rFonts w:ascii="Arial" w:cs="Arial" w:eastAsia="Arial" w:hAnsi="Arial"/>
          <w:b w:val="false"/>
          <w:bCs w:val="false"/>
          <w:color w:val="1A1A1A"/>
          <w:sz w:val="22"/>
          <w:szCs w:val="22"/>
        </w:rPr>
        <w:t xml:space="preserve">AI-003: Grounded response engine — all answers cite specific permit reference numbers and dates</w:t>
      </w:r>
    </w:p>
    <w:p>
      <w:pPr>
        <w:pStyle w:val="ListParagraph"/>
        <w:numPr>
          <w:ilvl w:val="0"/>
          <w:numId w:val="2"/>
        </w:numPr>
        <w:spacing w:after="40" w:before="40"/>
      </w:pPr>
      <w:r>
        <w:rPr>
          <w:rFonts w:ascii="Arial" w:cs="Arial" w:eastAsia="Arial" w:hAnsi="Arial"/>
          <w:b w:val="false"/>
          <w:bCs w:val="false"/>
          <w:color w:val="1A1A1A"/>
          <w:sz w:val="22"/>
          <w:szCs w:val="22"/>
        </w:rPr>
        <w:t xml:space="preserve">AI-004: Suggested questions — pre-built prompts surfaced on load to guide first-time users</w:t>
      </w:r>
    </w:p>
    <w:p>
      <w:pPr>
        <w:pStyle w:val="ListParagraph"/>
        <w:numPr>
          <w:ilvl w:val="0"/>
          <w:numId w:val="2"/>
        </w:numPr>
        <w:spacing w:after="40" w:before="40"/>
      </w:pPr>
      <w:r>
        <w:rPr>
          <w:rFonts w:ascii="Arial" w:cs="Arial" w:eastAsia="Arial" w:hAnsi="Arial"/>
          <w:b w:val="false"/>
          <w:bCs w:val="false"/>
          <w:color w:val="1A1A1A"/>
          <w:sz w:val="22"/>
          <w:szCs w:val="22"/>
        </w:rPr>
        <w:t xml:space="preserve">AI-005: Scheduling advisor — given a proposed works location and duration, suggest lower-impact windows based on existing permits</w:t>
      </w:r>
    </w:p>
    <w:p>
      <w:pPr>
        <w:pStyle w:val="ListParagraph"/>
        <w:numPr>
          <w:ilvl w:val="0"/>
          <w:numId w:val="2"/>
        </w:numPr>
        <w:spacing w:after="40" w:before="40"/>
      </w:pPr>
      <w:r>
        <w:rPr>
          <w:rFonts w:ascii="Arial" w:cs="Arial" w:eastAsia="Arial" w:hAnsi="Arial"/>
          <w:b w:val="false"/>
          <w:bCs w:val="false"/>
          <w:color w:val="1A1A1A"/>
          <w:sz w:val="22"/>
          <w:szCs w:val="22"/>
        </w:rPr>
        <w:t xml:space="preserve">AI-006: Plain-English permit summary — paste a permit reference, get a 3-sentence plain-English explanation</w:t>
      </w:r>
    </w:p>
    <w:p>
      <w:pPr>
        <w:pStyle w:val="ListParagraph"/>
        <w:numPr>
          <w:ilvl w:val="0"/>
          <w:numId w:val="2"/>
        </w:numPr>
        <w:spacing w:after="40" w:before="40"/>
      </w:pPr>
      <w:r>
        <w:rPr>
          <w:rFonts w:ascii="Arial" w:cs="Arial" w:eastAsia="Arial" w:hAnsi="Arial"/>
          <w:b w:val="false"/>
          <w:bCs w:val="false"/>
          <w:color w:val="1A1A1A"/>
          <w:sz w:val="22"/>
          <w:szCs w:val="22"/>
        </w:rPr>
        <w:t xml:space="preserve">AI-007: Response audit trail — every AI answer logged with the query that generated it for quality review</w:t>
      </w:r>
    </w:p>
    <w:p>
      <w:pPr>
        <w:spacing w:after="0" w:before="0"/>
      </w:pPr>
      <w:r>
        <w:t xml:space="preserve"/>
      </w:r>
    </w:p>
    <w:p>
      <w:pPr>
        <w:pStyle w:val="Heading3"/>
        <w:spacing w:after="80" w:before="200"/>
      </w:pPr>
      <w:r>
        <w:rPr>
          <w:rFonts w:ascii="Arial" w:cs="Arial" w:eastAsia="Arial" w:hAnsi="Arial"/>
          <w:b/>
          <w:bCs/>
          <w:color w:val="1B3A5C"/>
          <w:sz w:val="24"/>
          <w:szCs w:val="24"/>
        </w:rPr>
        <w:t xml:space="preserve">Success Matrix — Phase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1680"/>
        <w:gridCol w:w="1680"/>
      </w:tblGrid>
      <w:tr>
        <w:trPr>
          <w:tblHeader/>
        </w:trPr>
        <w:tc>
          <w:tcPr>
            <w:tcW w:type="dxa" w:w="3200"/>
            <w:tcBorders>
              <w:top w:val="single" w:color="534AB7" w:sz="1"/>
              <w:left w:val="single" w:color="534AB7" w:sz="1"/>
              <w:bottom w:val="single" w:color="534AB7" w:sz="1"/>
              <w:right w:val="single" w:color="534AB7" w:sz="1"/>
            </w:tcBorders>
            <w:shd w:fill="534AB7"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Metric</w:t>
            </w:r>
          </w:p>
        </w:tc>
        <w:tc>
          <w:tcPr>
            <w:tcW w:type="dxa" w:w="2800"/>
            <w:tcBorders>
              <w:top w:val="single" w:color="534AB7" w:sz="1"/>
              <w:left w:val="single" w:color="534AB7" w:sz="1"/>
              <w:bottom w:val="single" w:color="534AB7" w:sz="1"/>
              <w:right w:val="single" w:color="534AB7" w:sz="1"/>
            </w:tcBorders>
            <w:shd w:fill="534AB7"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Target</w:t>
            </w:r>
          </w:p>
        </w:tc>
        <w:tc>
          <w:tcPr>
            <w:tcW w:type="dxa" w:w="1680"/>
            <w:tcBorders>
              <w:top w:val="single" w:color="534AB7" w:sz="1"/>
              <w:left w:val="single" w:color="534AB7" w:sz="1"/>
              <w:bottom w:val="single" w:color="534AB7" w:sz="1"/>
              <w:right w:val="single" w:color="534AB7" w:sz="1"/>
            </w:tcBorders>
            <w:shd w:fill="534AB7"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Measurement</w:t>
            </w:r>
          </w:p>
        </w:tc>
        <w:tc>
          <w:tcPr>
            <w:tcW w:type="dxa" w:w="1680"/>
            <w:tcBorders>
              <w:top w:val="single" w:color="534AB7" w:sz="1"/>
              <w:left w:val="single" w:color="534AB7" w:sz="1"/>
              <w:bottom w:val="single" w:color="534AB7" w:sz="1"/>
              <w:right w:val="single" w:color="534AB7" w:sz="1"/>
            </w:tcBorders>
            <w:shd w:fill="534AB7"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Owner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Answer accuracy rate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&gt;90% factually correct vs Street Manager data</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Manual audit sample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Founder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Response latency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&lt;4 seconds end-to-end</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Server logs</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Engineer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Copilot sessions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100 sessions in first 30 days post-launch</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Analytics</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Founder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Hallucination rate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&lt;5% of audited responses contain fabricated data</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Audit log review</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Founder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Causeway leadership contact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1 LinkedIn reply or DM from Causeway SVP/CTO</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LinkedIn inbox</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Founder</w:t>
            </w:r>
          </w:p>
        </w:tc>
      </w:tr>
    </w:tbl>
    <w:p>
      <w:pPr>
        <w:spacing w:after="0" w:before="0"/>
      </w:pPr>
      <w:r>
        <w:t xml:space="preserve"/>
      </w:r>
    </w:p>
    <w:p>
      <w:pPr>
        <w:pStyle w:val="Heading3"/>
        <w:spacing w:after="80" w:before="200"/>
      </w:pPr>
      <w:r>
        <w:rPr>
          <w:rFonts w:ascii="Arial" w:cs="Arial" w:eastAsia="Arial" w:hAnsi="Arial"/>
          <w:b/>
          <w:bCs/>
          <w:color w:val="1B3A5C"/>
          <w:sz w:val="24"/>
          <w:szCs w:val="24"/>
        </w:rPr>
        <w:t xml:space="preserve">APIs Used in Phase 3</w:t>
      </w:r>
    </w:p>
    <w:p>
      <w:pPr>
        <w:pStyle w:val="ListParagraph"/>
        <w:numPr>
          <w:ilvl w:val="0"/>
          <w:numId w:val="2"/>
        </w:numPr>
        <w:spacing w:after="40" w:before="40"/>
      </w:pPr>
      <w:r>
        <w:rPr>
          <w:rFonts w:ascii="Arial" w:cs="Arial" w:eastAsia="Arial" w:hAnsi="Arial"/>
          <w:b w:val="false"/>
          <w:bCs w:val="false"/>
          <w:color w:val="1A1A1A"/>
          <w:sz w:val="22"/>
          <w:szCs w:val="22"/>
        </w:rPr>
        <w:t xml:space="preserve">Anthropic Claude API (claude-sonnet-4-20250514) — LLM for copilot reasoning and response generation</w:t>
      </w:r>
    </w:p>
    <w:p>
      <w:pPr>
        <w:pStyle w:val="ListParagraph"/>
        <w:numPr>
          <w:ilvl w:val="0"/>
          <w:numId w:val="2"/>
        </w:numPr>
        <w:spacing w:after="40" w:before="40"/>
      </w:pPr>
      <w:r>
        <w:rPr>
          <w:rFonts w:ascii="Arial" w:cs="Arial" w:eastAsia="Arial" w:hAnsi="Arial"/>
          <w:b w:val="false"/>
          <w:bCs w:val="false"/>
          <w:color w:val="1A1A1A"/>
          <w:sz w:val="22"/>
          <w:szCs w:val="22"/>
        </w:rPr>
        <w:t xml:space="preserve">Street Manager Open Data API — grounding data source for all AI answers</w:t>
      </w:r>
    </w:p>
    <w:p>
      <w:pPr>
        <w:pStyle w:val="ListParagraph"/>
        <w:numPr>
          <w:ilvl w:val="0"/>
          <w:numId w:val="2"/>
        </w:numPr>
        <w:spacing w:after="40" w:before="40"/>
      </w:pPr>
      <w:r>
        <w:rPr>
          <w:rFonts w:ascii="Arial" w:cs="Arial" w:eastAsia="Arial" w:hAnsi="Arial"/>
          <w:b w:val="false"/>
          <w:bCs w:val="false"/>
          <w:color w:val="1A1A1A"/>
          <w:sz w:val="22"/>
          <w:szCs w:val="22"/>
        </w:rPr>
        <w:t xml:space="preserve">LangChain Python — agent orchestration, tool calling, memory</w:t>
      </w:r>
    </w:p>
    <w:p>
      <w:pPr>
        <w:pStyle w:val="ListParagraph"/>
        <w:numPr>
          <w:ilvl w:val="0"/>
          <w:numId w:val="2"/>
        </w:numPr>
        <w:spacing w:after="40" w:before="40"/>
      </w:pPr>
      <w:r>
        <w:rPr>
          <w:rFonts w:ascii="Arial" w:cs="Arial" w:eastAsia="Arial" w:hAnsi="Arial"/>
          <w:b w:val="false"/>
          <w:bCs w:val="false"/>
          <w:color w:val="1A1A1A"/>
          <w:sz w:val="22"/>
          <w:szCs w:val="22"/>
        </w:rPr>
        <w:t xml:space="preserve">Redis — conversation state and session management</w:t>
      </w:r>
    </w:p>
    <w:p>
      <w:pPr>
        <w:spacing w:after="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3B6D11" w:sz="1"/>
              <w:left w:val="single" w:color="3B6D11" w:sz="1"/>
              <w:bottom w:val="single" w:color="3B6D11" w:sz="1"/>
              <w:right w:val="single" w:color="3B6D11" w:sz="1"/>
            </w:tcBorders>
            <w:shd w:fill="3B6D11" w:val="clear"/>
            <w:tcMar>
              <w:top w:type="dxa" w:w="80"/>
              <w:left w:type="dxa" w:w="120"/>
              <w:bottom w:type="dxa" w:w="80"/>
              <w:right w:type="dxa" w:w="120"/>
            </w:tcMar>
            <w:vAlign w:val="center"/>
          </w:tcPr>
          <w:p>
            <w:pPr>
              <w:spacing w:after="60" w:before="60"/>
              <w:jc w:val="center"/>
            </w:pPr>
            <w:r>
              <w:rPr>
                <w:rFonts w:ascii="Arial" w:cs="Arial" w:eastAsia="Arial" w:hAnsi="Arial"/>
                <w:b/>
                <w:bCs/>
                <w:color w:val="FFFFFF"/>
                <w:sz w:val="28"/>
                <w:szCs w:val="28"/>
              </w:rPr>
              <w:t xml:space="preserve">PHASE 4</w:t>
            </w:r>
            <w:r>
              <w:rPr>
                <w:rFonts w:ascii="Arial" w:cs="Arial" w:eastAsia="Arial" w:hAnsi="Arial"/>
                <w:color w:val="FFFFFF"/>
                <w:sz w:val="18"/>
                <w:szCs w:val="18"/>
              </w:rPr>
              <w:br/>
              <w:t xml:space="preserve">
Weeks 13–18  |  Target: October–November 2026</w:t>
            </w:r>
          </w:p>
        </w:tc>
        <w:tc>
          <w:tcPr>
            <w:tcW w:type="dxa" w:w="7560"/>
            <w:tcBorders>
              <w:top w:val="single" w:color="3B6D11" w:sz="1"/>
              <w:left w:val="single" w:color="3B6D11" w:sz="1"/>
              <w:bottom w:val="single" w:color="3B6D11" w:sz="1"/>
              <w:right w:val="single" w:color="3B6D11" w:sz="1"/>
            </w:tcBorders>
            <w:shd w:fill="3B6D11" w:val="clear"/>
            <w:tcMar>
              <w:top w:type="dxa" w:w="80"/>
              <w:left w:type="dxa" w:w="120"/>
              <w:bottom w:type="dxa" w:w="80"/>
              <w:right w:type="dxa" w:w="120"/>
            </w:tcMar>
            <w:vAlign w:val="center"/>
          </w:tcPr>
          <w:p>
            <w:pPr>
              <w:spacing w:after="60" w:before="60"/>
            </w:pPr>
            <w:r>
              <w:rPr>
                <w:rFonts w:ascii="Arial" w:cs="Arial" w:eastAsia="Arial" w:hAnsi="Arial"/>
                <w:b/>
                <w:bCs/>
                <w:color w:val="FFFFFF"/>
                <w:sz w:val="26"/>
                <w:szCs w:val="26"/>
              </w:rPr>
              <w:t xml:space="preserve">NUAR Underground Risk Integration</w:t>
            </w:r>
          </w:p>
        </w:tc>
      </w:tr>
    </w:tbl>
    <w:p>
      <w:pPr>
        <w:spacing w:after="0" w:before="0"/>
      </w:pPr>
      <w:r>
        <w:t xml:space="preserve"/>
      </w:r>
    </w:p>
    <w:p>
      <w:pPr>
        <w:pStyle w:val="Heading3"/>
        <w:spacing w:after="80" w:before="200"/>
      </w:pPr>
      <w:r>
        <w:rPr>
          <w:rFonts w:ascii="Arial" w:cs="Arial" w:eastAsia="Arial" w:hAnsi="Arial"/>
          <w:b/>
          <w:bCs/>
          <w:color w:val="1B3A5C"/>
          <w:sz w:val="24"/>
          <w:szCs w:val="24"/>
        </w:rPr>
        <w:t xml:space="preserve">Problem Statement — Phase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D11" w:sz="1"/>
              <w:left w:val="single" w:color="3B6D11" w:sz="1"/>
              <w:bottom w:val="single" w:color="3B6D11" w:sz="1"/>
              <w:right w:val="single" w:color="3B6D11" w:sz="1"/>
            </w:tcBorders>
            <w:shd w:fill="EAF3DE"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60,000 accidental underground asset strikes occur in the UK every year, costing the economy £2.4 billion annually. When a permit officer approves a works, they have no immediate visibility of what lies beneath the road surface at that exact location — the density of gas mains, fibre cables, water pipes, and high-voltage electricity cables that determine how risky excavation will be. NUAR now holds data from over 350 asset owners covering over 3 million kilometres of buried infrastructure, moved into public beta in June 2025 with user restrictions removed — yet no product integrates this data with Street Manager permit locations to produce a real-time underground strike risk score. The DfT roadmap has no equivalent feature planned.</w:t>
            </w:r>
          </w:p>
        </w:tc>
      </w:tr>
    </w:tbl>
    <w:p>
      <w:pPr>
        <w:spacing w:after="0" w:before="0"/>
      </w:pPr>
      <w:r>
        <w:t xml:space="preserve"/>
      </w:r>
    </w:p>
    <w:p>
      <w:pPr>
        <w:pStyle w:val="Heading3"/>
        <w:spacing w:after="80" w:before="200"/>
      </w:pPr>
      <w:r>
        <w:rPr>
          <w:rFonts w:ascii="Arial" w:cs="Arial" w:eastAsia="Arial" w:hAnsi="Arial"/>
          <w:b/>
          <w:bCs/>
          <w:color w:val="1B3A5C"/>
          <w:sz w:val="24"/>
          <w:szCs w:val="24"/>
        </w:rPr>
        <w:t xml:space="preserve">Modules</w:t>
      </w:r>
    </w:p>
    <w:p>
      <w:pPr>
        <w:pStyle w:val="ListParagraph"/>
        <w:numPr>
          <w:ilvl w:val="0"/>
          <w:numId w:val="2"/>
        </w:numPr>
        <w:spacing w:after="40" w:before="40"/>
      </w:pPr>
      <w:r>
        <w:rPr>
          <w:rFonts w:ascii="Arial" w:cs="Arial" w:eastAsia="Arial" w:hAnsi="Arial"/>
          <w:b w:val="false"/>
          <w:bCs w:val="false"/>
          <w:color w:val="1A1A1A"/>
          <w:sz w:val="22"/>
          <w:szCs w:val="22"/>
        </w:rPr>
        <w:t xml:space="preserve">UN-001: NUAR API integration — query underground assets by bounding box around permit location</w:t>
      </w:r>
    </w:p>
    <w:p>
      <w:pPr>
        <w:pStyle w:val="ListParagraph"/>
        <w:numPr>
          <w:ilvl w:val="0"/>
          <w:numId w:val="2"/>
        </w:numPr>
        <w:spacing w:after="40" w:before="40"/>
      </w:pPr>
      <w:r>
        <w:rPr>
          <w:rFonts w:ascii="Arial" w:cs="Arial" w:eastAsia="Arial" w:hAnsi="Arial"/>
          <w:b w:val="false"/>
          <w:bCs w:val="false"/>
          <w:color w:val="1A1A1A"/>
          <w:sz w:val="22"/>
          <w:szCs w:val="22"/>
        </w:rPr>
        <w:t xml:space="preserve">UN-002: Asset density scorer — count and classify assets by type (gas, electric, water, telecoms) within excavation radius</w:t>
      </w:r>
    </w:p>
    <w:p>
      <w:pPr>
        <w:pStyle w:val="ListParagraph"/>
        <w:numPr>
          <w:ilvl w:val="0"/>
          <w:numId w:val="2"/>
        </w:numPr>
        <w:spacing w:after="40" w:before="40"/>
      </w:pPr>
      <w:r>
        <w:rPr>
          <w:rFonts w:ascii="Arial" w:cs="Arial" w:eastAsia="Arial" w:hAnsi="Arial"/>
          <w:b w:val="false"/>
          <w:bCs w:val="false"/>
          <w:color w:val="1A1A1A"/>
          <w:sz w:val="22"/>
          <w:szCs w:val="22"/>
        </w:rPr>
        <w:t xml:space="preserve">UN-003: Strike risk classification — Low / Medium / High / Critical based on asset count, voltage level, pressure tier, and proximity</w:t>
      </w:r>
    </w:p>
    <w:p>
      <w:pPr>
        <w:pStyle w:val="ListParagraph"/>
        <w:numPr>
          <w:ilvl w:val="0"/>
          <w:numId w:val="2"/>
        </w:numPr>
        <w:spacing w:after="40" w:before="40"/>
      </w:pPr>
      <w:r>
        <w:rPr>
          <w:rFonts w:ascii="Arial" w:cs="Arial" w:eastAsia="Arial" w:hAnsi="Arial"/>
          <w:b w:val="false"/>
          <w:bCs w:val="false"/>
          <w:color w:val="1A1A1A"/>
          <w:sz w:val="22"/>
          <w:szCs w:val="22"/>
        </w:rPr>
        <w:t xml:space="preserve">UN-004: Permit-level risk overlay — enrich each Street Manager permit with NUAR strike risk score</w:t>
      </w:r>
    </w:p>
    <w:p>
      <w:pPr>
        <w:pStyle w:val="ListParagraph"/>
        <w:numPr>
          <w:ilvl w:val="0"/>
          <w:numId w:val="2"/>
        </w:numPr>
        <w:spacing w:after="40" w:before="40"/>
      </w:pPr>
      <w:r>
        <w:rPr>
          <w:rFonts w:ascii="Arial" w:cs="Arial" w:eastAsia="Arial" w:hAnsi="Arial"/>
          <w:b w:val="false"/>
          <w:bCs w:val="false"/>
          <w:color w:val="1A1A1A"/>
          <w:sz w:val="22"/>
          <w:szCs w:val="22"/>
        </w:rPr>
        <w:t xml:space="preserve">UN-005: Risk explanation panel — plain-English breakdown of what assets are present and why the score is what it is</w:t>
      </w:r>
    </w:p>
    <w:p>
      <w:pPr>
        <w:pStyle w:val="ListParagraph"/>
        <w:numPr>
          <w:ilvl w:val="0"/>
          <w:numId w:val="2"/>
        </w:numPr>
        <w:spacing w:after="40" w:before="40"/>
      </w:pPr>
      <w:r>
        <w:rPr>
          <w:rFonts w:ascii="Arial" w:cs="Arial" w:eastAsia="Arial" w:hAnsi="Arial"/>
          <w:b w:val="false"/>
          <w:bCs w:val="false"/>
          <w:color w:val="1A1A1A"/>
          <w:sz w:val="22"/>
          <w:szCs w:val="22"/>
        </w:rPr>
        <w:t xml:space="preserve">UN-006: NUAR + corridor risk composite score — combine surface disruption risk (Phase 2) with underground strike risk (Phase 4)</w:t>
      </w:r>
    </w:p>
    <w:p>
      <w:pPr>
        <w:pStyle w:val="ListParagraph"/>
        <w:numPr>
          <w:ilvl w:val="0"/>
          <w:numId w:val="2"/>
        </w:numPr>
        <w:spacing w:after="40" w:before="40"/>
      </w:pPr>
      <w:r>
        <w:rPr>
          <w:rFonts w:ascii="Arial" w:cs="Arial" w:eastAsia="Arial" w:hAnsi="Arial"/>
          <w:b w:val="false"/>
          <w:bCs w:val="false"/>
          <w:color w:val="1A1A1A"/>
          <w:sz w:val="22"/>
          <w:szCs w:val="22"/>
        </w:rPr>
        <w:t xml:space="preserve">UN-007: Contractor alert system — email/webhook alert when new permit is submitted over high-risk underground asset zone</w:t>
      </w:r>
    </w:p>
    <w:p>
      <w:pPr>
        <w:spacing w:after="0" w:before="0"/>
      </w:pPr>
      <w:r>
        <w:t xml:space="preserve"/>
      </w:r>
    </w:p>
    <w:p>
      <w:pPr>
        <w:pStyle w:val="Heading3"/>
        <w:spacing w:after="80" w:before="200"/>
      </w:pPr>
      <w:r>
        <w:rPr>
          <w:rFonts w:ascii="Arial" w:cs="Arial" w:eastAsia="Arial" w:hAnsi="Arial"/>
          <w:b/>
          <w:bCs/>
          <w:color w:val="1B3A5C"/>
          <w:sz w:val="24"/>
          <w:szCs w:val="24"/>
        </w:rPr>
        <w:t xml:space="preserve">Success Matrix — Phase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1680"/>
        <w:gridCol w:w="1680"/>
      </w:tblGrid>
      <w:tr>
        <w:trPr>
          <w:tblHeader/>
        </w:trPr>
        <w:tc>
          <w:tcPr>
            <w:tcW w:type="dxa" w:w="3200"/>
            <w:tcBorders>
              <w:top w:val="single" w:color="3B6D11" w:sz="1"/>
              <w:left w:val="single" w:color="3B6D11" w:sz="1"/>
              <w:bottom w:val="single" w:color="3B6D11" w:sz="1"/>
              <w:right w:val="single" w:color="3B6D11" w:sz="1"/>
            </w:tcBorders>
            <w:shd w:fill="3B6D11"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Metric</w:t>
            </w:r>
          </w:p>
        </w:tc>
        <w:tc>
          <w:tcPr>
            <w:tcW w:type="dxa" w:w="2800"/>
            <w:tcBorders>
              <w:top w:val="single" w:color="3B6D11" w:sz="1"/>
              <w:left w:val="single" w:color="3B6D11" w:sz="1"/>
              <w:bottom w:val="single" w:color="3B6D11" w:sz="1"/>
              <w:right w:val="single" w:color="3B6D11" w:sz="1"/>
            </w:tcBorders>
            <w:shd w:fill="3B6D11"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Target</w:t>
            </w:r>
          </w:p>
        </w:tc>
        <w:tc>
          <w:tcPr>
            <w:tcW w:type="dxa" w:w="1680"/>
            <w:tcBorders>
              <w:top w:val="single" w:color="3B6D11" w:sz="1"/>
              <w:left w:val="single" w:color="3B6D11" w:sz="1"/>
              <w:bottom w:val="single" w:color="3B6D11" w:sz="1"/>
              <w:right w:val="single" w:color="3B6D11" w:sz="1"/>
            </w:tcBorders>
            <w:shd w:fill="3B6D11"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Measurement</w:t>
            </w:r>
          </w:p>
        </w:tc>
        <w:tc>
          <w:tcPr>
            <w:tcW w:type="dxa" w:w="1680"/>
            <w:tcBorders>
              <w:top w:val="single" w:color="3B6D11" w:sz="1"/>
              <w:left w:val="single" w:color="3B6D11" w:sz="1"/>
              <w:bottom w:val="single" w:color="3B6D11" w:sz="1"/>
              <w:right w:val="single" w:color="3B6D11" w:sz="1"/>
            </w:tcBorders>
            <w:shd w:fill="3B6D11"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Owner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Permits with NUAR risk score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&gt;80% of new permits scored within 1 hour</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Database audit</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Engineer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NUAR API uptime dependency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Graceful degradation if NUAR unavailable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Failover test</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Engineer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Strike risk validation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Score validated against 5 known historical strike locations</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Manual case review</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Founder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Industry media coverage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1 mention in highways/utilities trade press</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Google Alerts</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Founder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HAUC/utility company demo requests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3 inbound demo requests from utilities or authorities</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CRM / email</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Founder</w:t>
            </w:r>
          </w:p>
        </w:tc>
      </w:tr>
    </w:tbl>
    <w:p>
      <w:pPr>
        <w:spacing w:after="0" w:before="0"/>
      </w:pPr>
      <w:r>
        <w:t xml:space="preserve"/>
      </w:r>
    </w:p>
    <w:p>
      <w:pPr>
        <w:pStyle w:val="Heading3"/>
        <w:spacing w:after="80" w:before="200"/>
      </w:pPr>
      <w:r>
        <w:rPr>
          <w:rFonts w:ascii="Arial" w:cs="Arial" w:eastAsia="Arial" w:hAnsi="Arial"/>
          <w:b/>
          <w:bCs/>
          <w:color w:val="1B3A5C"/>
          <w:sz w:val="24"/>
          <w:szCs w:val="24"/>
        </w:rPr>
        <w:t xml:space="preserve">APIs Used in Phase 4</w:t>
      </w:r>
    </w:p>
    <w:p>
      <w:pPr>
        <w:pStyle w:val="ListParagraph"/>
        <w:numPr>
          <w:ilvl w:val="0"/>
          <w:numId w:val="2"/>
        </w:numPr>
        <w:spacing w:after="40" w:before="40"/>
      </w:pPr>
      <w:r>
        <w:rPr>
          <w:rFonts w:ascii="Arial" w:cs="Arial" w:eastAsia="Arial" w:hAnsi="Arial"/>
          <w:b w:val="false"/>
          <w:bCs w:val="false"/>
          <w:color w:val="1A1A1A"/>
          <w:sz w:val="22"/>
          <w:szCs w:val="22"/>
        </w:rPr>
        <w:t xml:space="preserve">NUAR API (nuar.uk) — underground asset data by location, operated by Ordnance Survey</w:t>
      </w:r>
    </w:p>
    <w:p>
      <w:pPr>
        <w:pStyle w:val="ListParagraph"/>
        <w:numPr>
          <w:ilvl w:val="0"/>
          <w:numId w:val="2"/>
        </w:numPr>
        <w:spacing w:after="40" w:before="40"/>
      </w:pPr>
      <w:r>
        <w:rPr>
          <w:rFonts w:ascii="Arial" w:cs="Arial" w:eastAsia="Arial" w:hAnsi="Arial"/>
          <w:b w:val="false"/>
          <w:bCs w:val="false"/>
          <w:color w:val="1A1A1A"/>
          <w:sz w:val="22"/>
          <w:szCs w:val="22"/>
        </w:rPr>
        <w:t xml:space="preserve">NUAR Enquiry API Spec (GitHub: national-underground-asset-register) — OGC API Features compliant</w:t>
      </w:r>
    </w:p>
    <w:p>
      <w:pPr>
        <w:pStyle w:val="ListParagraph"/>
        <w:numPr>
          <w:ilvl w:val="0"/>
          <w:numId w:val="2"/>
        </w:numPr>
        <w:spacing w:after="40" w:before="40"/>
      </w:pPr>
      <w:r>
        <w:rPr>
          <w:rFonts w:ascii="Arial" w:cs="Arial" w:eastAsia="Arial" w:hAnsi="Arial"/>
          <w:b w:val="false"/>
          <w:bCs w:val="false"/>
          <w:color w:val="1A1A1A"/>
          <w:sz w:val="22"/>
          <w:szCs w:val="22"/>
        </w:rPr>
        <w:t xml:space="preserve">Street Manager Open Data API — permit locations for NUAR query anchoring</w:t>
      </w:r>
    </w:p>
    <w:p>
      <w:pPr>
        <w:pStyle w:val="ListParagraph"/>
        <w:numPr>
          <w:ilvl w:val="0"/>
          <w:numId w:val="2"/>
        </w:numPr>
        <w:spacing w:after="40" w:before="40"/>
      </w:pPr>
      <w:r>
        <w:rPr>
          <w:rFonts w:ascii="Arial" w:cs="Arial" w:eastAsia="Arial" w:hAnsi="Arial"/>
          <w:b w:val="false"/>
          <w:bCs w:val="false"/>
          <w:color w:val="1A1A1A"/>
          <w:sz w:val="22"/>
          <w:szCs w:val="22"/>
        </w:rPr>
        <w:t xml:space="preserve">OS Data Hub — coordinate transformation and USRN-to-geometry resolution</w:t>
      </w:r>
    </w:p>
    <w:p>
      <w:pPr>
        <w:spacing w:after="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A7517" w:sz="1"/>
              <w:left w:val="single" w:color="BA7517" w:sz="1"/>
              <w:bottom w:val="single" w:color="BA7517" w:sz="1"/>
              <w:right w:val="single" w:color="BA7517" w:sz="1"/>
            </w:tcBorders>
            <w:shd w:fill="BA7517" w:val="clear"/>
            <w:tcMar>
              <w:top w:type="dxa" w:w="80"/>
              <w:left w:type="dxa" w:w="120"/>
              <w:bottom w:type="dxa" w:w="80"/>
              <w:right w:type="dxa" w:w="120"/>
            </w:tcMar>
            <w:vAlign w:val="center"/>
          </w:tcPr>
          <w:p>
            <w:pPr>
              <w:spacing w:after="60" w:before="60"/>
              <w:jc w:val="center"/>
            </w:pPr>
            <w:r>
              <w:rPr>
                <w:rFonts w:ascii="Arial" w:cs="Arial" w:eastAsia="Arial" w:hAnsi="Arial"/>
                <w:b/>
                <w:bCs/>
                <w:color w:val="FFFFFF"/>
                <w:sz w:val="28"/>
                <w:szCs w:val="28"/>
              </w:rPr>
              <w:t xml:space="preserve">PHASE 5</w:t>
            </w:r>
            <w:r>
              <w:rPr>
                <w:rFonts w:ascii="Arial" w:cs="Arial" w:eastAsia="Arial" w:hAnsi="Arial"/>
                <w:color w:val="FFFFFF"/>
                <w:sz w:val="18"/>
                <w:szCs w:val="18"/>
              </w:rPr>
              <w:br/>
              <w:t xml:space="preserve">
Weeks 19–22  |  Target: December 2026–January 2027</w:t>
            </w:r>
          </w:p>
        </w:tc>
        <w:tc>
          <w:tcPr>
            <w:tcW w:type="dxa" w:w="7560"/>
            <w:tcBorders>
              <w:top w:val="single" w:color="BA7517" w:sz="1"/>
              <w:left w:val="single" w:color="BA7517" w:sz="1"/>
              <w:bottom w:val="single" w:color="BA7517" w:sz="1"/>
              <w:right w:val="single" w:color="BA7517" w:sz="1"/>
            </w:tcBorders>
            <w:shd w:fill="BA7517" w:val="clear"/>
            <w:tcMar>
              <w:top w:type="dxa" w:w="80"/>
              <w:left w:type="dxa" w:w="120"/>
              <w:bottom w:type="dxa" w:w="80"/>
              <w:right w:type="dxa" w:w="120"/>
            </w:tcMar>
            <w:vAlign w:val="center"/>
          </w:tcPr>
          <w:p>
            <w:pPr>
              <w:spacing w:after="60" w:before="60"/>
            </w:pPr>
            <w:r>
              <w:rPr>
                <w:rFonts w:ascii="Arial" w:cs="Arial" w:eastAsia="Arial" w:hAnsi="Arial"/>
                <w:b/>
                <w:bCs/>
                <w:color w:val="FFFFFF"/>
                <w:sz w:val="26"/>
                <w:szCs w:val="26"/>
              </w:rPr>
              <w:t xml:space="preserve">Non-Compliance Analytics</w:t>
            </w:r>
          </w:p>
        </w:tc>
      </w:tr>
    </w:tbl>
    <w:p>
      <w:pPr>
        <w:spacing w:after="0" w:before="0"/>
      </w:pPr>
      <w:r>
        <w:t xml:space="preserve"/>
      </w:r>
    </w:p>
    <w:p>
      <w:pPr>
        <w:pStyle w:val="Heading3"/>
        <w:spacing w:after="80" w:before="200"/>
      </w:pPr>
      <w:r>
        <w:rPr>
          <w:rFonts w:ascii="Arial" w:cs="Arial" w:eastAsia="Arial" w:hAnsi="Arial"/>
          <w:b/>
          <w:bCs/>
          <w:color w:val="1B3A5C"/>
          <w:sz w:val="24"/>
          <w:szCs w:val="24"/>
        </w:rPr>
        <w:t xml:space="preserve">Problem Statement — Phase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A7517" w:sz="1"/>
              <w:left w:val="single" w:color="BA7517" w:sz="1"/>
              <w:bottom w:val="single" w:color="BA7517" w:sz="1"/>
              <w:right w:val="single" w:color="BA7517" w:sz="1"/>
            </w:tcBorders>
            <w:shd w:fill="FAEEDA"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Street Manager's own roadmap confirms non-compliance improvements arrive in Phase 13 (September 2026) — but these are workflow tools for handling individual non-compliant permits, not analytics that expose systemic patterns. No product currently tells a highway authority which utility promoters are the most persistent offenders for overrunning permitted dates, submitting inaccurate traffic management types, or failing to file reinstatement records on time. No product benchmarks an authority's own compliance performance against national averages. This information lives in Street Manager's open data but nobody has built the analytical layer. Authorities spend thousands of hours in manual enforcement activity that smarter analytics could target far more precisely.</w:t>
            </w:r>
          </w:p>
        </w:tc>
      </w:tr>
    </w:tbl>
    <w:p>
      <w:pPr>
        <w:spacing w:after="0" w:before="0"/>
      </w:pPr>
      <w:r>
        <w:t xml:space="preserve"/>
      </w:r>
    </w:p>
    <w:p>
      <w:pPr>
        <w:pStyle w:val="Heading3"/>
        <w:spacing w:after="80" w:before="200"/>
      </w:pPr>
      <w:r>
        <w:rPr>
          <w:rFonts w:ascii="Arial" w:cs="Arial" w:eastAsia="Arial" w:hAnsi="Arial"/>
          <w:b/>
          <w:bCs/>
          <w:color w:val="1B3A5C"/>
          <w:sz w:val="24"/>
          <w:szCs w:val="24"/>
        </w:rPr>
        <w:t xml:space="preserve">Modules</w:t>
      </w:r>
    </w:p>
    <w:p>
      <w:pPr>
        <w:pStyle w:val="ListParagraph"/>
        <w:numPr>
          <w:ilvl w:val="0"/>
          <w:numId w:val="2"/>
        </w:numPr>
        <w:spacing w:after="40" w:before="40"/>
      </w:pPr>
      <w:r>
        <w:rPr>
          <w:rFonts w:ascii="Arial" w:cs="Arial" w:eastAsia="Arial" w:hAnsi="Arial"/>
          <w:b w:val="false"/>
          <w:bCs w:val="false"/>
          <w:color w:val="1A1A1A"/>
          <w:sz w:val="22"/>
          <w:szCs w:val="22"/>
        </w:rPr>
        <w:t xml:space="preserve">NC-001: Promoter compliance scorer — overrun rate, late start rate, missing reinstatement rate per promoter</w:t>
      </w:r>
    </w:p>
    <w:p>
      <w:pPr>
        <w:pStyle w:val="ListParagraph"/>
        <w:numPr>
          <w:ilvl w:val="0"/>
          <w:numId w:val="2"/>
        </w:numPr>
        <w:spacing w:after="40" w:before="40"/>
      </w:pPr>
      <w:r>
        <w:rPr>
          <w:rFonts w:ascii="Arial" w:cs="Arial" w:eastAsia="Arial" w:hAnsi="Arial"/>
          <w:b w:val="false"/>
          <w:bCs w:val="false"/>
          <w:color w:val="1A1A1A"/>
          <w:sz w:val="22"/>
          <w:szCs w:val="22"/>
        </w:rPr>
        <w:t xml:space="preserve">NC-002: Authority compliance dashboard — self-assessment view for highway authorities vs national benchmarks</w:t>
      </w:r>
    </w:p>
    <w:p>
      <w:pPr>
        <w:pStyle w:val="ListParagraph"/>
        <w:numPr>
          <w:ilvl w:val="0"/>
          <w:numId w:val="2"/>
        </w:numPr>
        <w:spacing w:after="40" w:before="40"/>
      </w:pPr>
      <w:r>
        <w:rPr>
          <w:rFonts w:ascii="Arial" w:cs="Arial" w:eastAsia="Arial" w:hAnsi="Arial"/>
          <w:b w:val="false"/>
          <w:bCs w:val="false"/>
          <w:color w:val="1A1A1A"/>
          <w:sz w:val="22"/>
          <w:szCs w:val="22"/>
        </w:rPr>
        <w:t xml:space="preserve">NC-003: Offender league table — ranked list of promoters by composite non-compliance score, filterable by region</w:t>
      </w:r>
    </w:p>
    <w:p>
      <w:pPr>
        <w:pStyle w:val="ListParagraph"/>
        <w:numPr>
          <w:ilvl w:val="0"/>
          <w:numId w:val="2"/>
        </w:numPr>
        <w:spacing w:after="40" w:before="40"/>
      </w:pPr>
      <w:r>
        <w:rPr>
          <w:rFonts w:ascii="Arial" w:cs="Arial" w:eastAsia="Arial" w:hAnsi="Arial"/>
          <w:b w:val="false"/>
          <w:bCs w:val="false"/>
          <w:color w:val="1A1A1A"/>
          <w:sz w:val="22"/>
          <w:szCs w:val="22"/>
        </w:rPr>
        <w:t xml:space="preserve">NC-004: Trend analytics — 12-month rolling compliance trend per promoter and authority</w:t>
      </w:r>
    </w:p>
    <w:p>
      <w:pPr>
        <w:pStyle w:val="ListParagraph"/>
        <w:numPr>
          <w:ilvl w:val="0"/>
          <w:numId w:val="2"/>
        </w:numPr>
        <w:spacing w:after="40" w:before="40"/>
      </w:pPr>
      <w:r>
        <w:rPr>
          <w:rFonts w:ascii="Arial" w:cs="Arial" w:eastAsia="Arial" w:hAnsi="Arial"/>
          <w:b w:val="false"/>
          <w:bCs w:val="false"/>
          <w:color w:val="1A1A1A"/>
          <w:sz w:val="22"/>
          <w:szCs w:val="22"/>
        </w:rPr>
        <w:t xml:space="preserve">NC-005: FPN opportunity detector — flag works that meet DfT criteria for Fixed Penalty Notice issuance</w:t>
      </w:r>
    </w:p>
    <w:p>
      <w:pPr>
        <w:pStyle w:val="ListParagraph"/>
        <w:numPr>
          <w:ilvl w:val="0"/>
          <w:numId w:val="2"/>
        </w:numPr>
        <w:spacing w:after="40" w:before="40"/>
      </w:pPr>
      <w:r>
        <w:rPr>
          <w:rFonts w:ascii="Arial" w:cs="Arial" w:eastAsia="Arial" w:hAnsi="Arial"/>
          <w:b w:val="false"/>
          <w:bCs w:val="false"/>
          <w:color w:val="1A1A1A"/>
          <w:sz w:val="22"/>
          <w:szCs w:val="22"/>
        </w:rPr>
        <w:t xml:space="preserve">NC-006: Exportable compliance report — PDF/CSV export of compliance data for authority internal reporting</w:t>
      </w:r>
    </w:p>
    <w:p>
      <w:pPr>
        <w:pStyle w:val="ListParagraph"/>
        <w:numPr>
          <w:ilvl w:val="0"/>
          <w:numId w:val="2"/>
        </w:numPr>
        <w:spacing w:after="40" w:before="40"/>
      </w:pPr>
      <w:r>
        <w:rPr>
          <w:rFonts w:ascii="Arial" w:cs="Arial" w:eastAsia="Arial" w:hAnsi="Arial"/>
          <w:b w:val="false"/>
          <w:bCs w:val="false"/>
          <w:color w:val="1A1A1A"/>
          <w:sz w:val="22"/>
          <w:szCs w:val="22"/>
        </w:rPr>
        <w:t xml:space="preserve">NC-007: AI compliance summary — copilot generates a plain-English monthly briefing for authority highway managers</w:t>
      </w:r>
    </w:p>
    <w:p>
      <w:pPr>
        <w:spacing w:after="0" w:before="0"/>
      </w:pPr>
      <w:r>
        <w:t xml:space="preserve"/>
      </w:r>
    </w:p>
    <w:p>
      <w:pPr>
        <w:pStyle w:val="Heading3"/>
        <w:spacing w:after="80" w:before="200"/>
      </w:pPr>
      <w:r>
        <w:rPr>
          <w:rFonts w:ascii="Arial" w:cs="Arial" w:eastAsia="Arial" w:hAnsi="Arial"/>
          <w:b/>
          <w:bCs/>
          <w:color w:val="1B3A5C"/>
          <w:sz w:val="24"/>
          <w:szCs w:val="24"/>
        </w:rPr>
        <w:t xml:space="preserve">Success Matrix — Phase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1680"/>
        <w:gridCol w:w="1680"/>
      </w:tblGrid>
      <w:tr>
        <w:trPr>
          <w:tblHeader/>
        </w:trPr>
        <w:tc>
          <w:tcPr>
            <w:tcW w:type="dxa" w:w="3200"/>
            <w:tcBorders>
              <w:top w:val="single" w:color="BA7517" w:sz="1"/>
              <w:left w:val="single" w:color="BA7517" w:sz="1"/>
              <w:bottom w:val="single" w:color="BA7517" w:sz="1"/>
              <w:right w:val="single" w:color="BA7517" w:sz="1"/>
            </w:tcBorders>
            <w:shd w:fill="BA7517"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Metric</w:t>
            </w:r>
          </w:p>
        </w:tc>
        <w:tc>
          <w:tcPr>
            <w:tcW w:type="dxa" w:w="2800"/>
            <w:tcBorders>
              <w:top w:val="single" w:color="BA7517" w:sz="1"/>
              <w:left w:val="single" w:color="BA7517" w:sz="1"/>
              <w:bottom w:val="single" w:color="BA7517" w:sz="1"/>
              <w:right w:val="single" w:color="BA7517" w:sz="1"/>
            </w:tcBorders>
            <w:shd w:fill="BA7517"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Target</w:t>
            </w:r>
          </w:p>
        </w:tc>
        <w:tc>
          <w:tcPr>
            <w:tcW w:type="dxa" w:w="1680"/>
            <w:tcBorders>
              <w:top w:val="single" w:color="BA7517" w:sz="1"/>
              <w:left w:val="single" w:color="BA7517" w:sz="1"/>
              <w:bottom w:val="single" w:color="BA7517" w:sz="1"/>
              <w:right w:val="single" w:color="BA7517" w:sz="1"/>
            </w:tcBorders>
            <w:shd w:fill="BA7517"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Measurement</w:t>
            </w:r>
          </w:p>
        </w:tc>
        <w:tc>
          <w:tcPr>
            <w:tcW w:type="dxa" w:w="1680"/>
            <w:tcBorders>
              <w:top w:val="single" w:color="BA7517" w:sz="1"/>
              <w:left w:val="single" w:color="BA7517" w:sz="1"/>
              <w:bottom w:val="single" w:color="BA7517" w:sz="1"/>
              <w:right w:val="single" w:color="BA7517" w:sz="1"/>
            </w:tcBorders>
            <w:shd w:fill="BA7517"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Owner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Promoters tracked nationally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All active promoters in England (est. 2,000+)</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Database count</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Engineer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Compliance score validation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Verified against 2 authority's own internal records</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Authority interview</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Founder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Authority newsletter sign-ups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25 authority contacts subscribed to monthly report</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Mailchimp/email</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Founder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HAUC convention presentation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Submitted abstract for HAUC Convention 2027</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Submission confirmation</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Founder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Causeway partnership discussion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Formal meeting or call with Causeway product/commercial team</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Calendar / notes</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Founder</w:t>
            </w:r>
          </w:p>
        </w:tc>
      </w:tr>
    </w:tbl>
    <w:p>
      <w:pPr>
        <w:spacing w:after="0" w:before="0"/>
      </w:pPr>
      <w:r>
        <w:t xml:space="preserve"/>
      </w:r>
    </w:p>
    <w:p>
      <w:pPr>
        <w:pStyle w:val="Heading3"/>
        <w:spacing w:after="80" w:before="200"/>
      </w:pPr>
      <w:r>
        <w:rPr>
          <w:rFonts w:ascii="Arial" w:cs="Arial" w:eastAsia="Arial" w:hAnsi="Arial"/>
          <w:b/>
          <w:bCs/>
          <w:color w:val="1B3A5C"/>
          <w:sz w:val="24"/>
          <w:szCs w:val="24"/>
        </w:rPr>
        <w:t xml:space="preserve">APIs Used in Phase 5</w:t>
      </w:r>
    </w:p>
    <w:p>
      <w:pPr>
        <w:pStyle w:val="ListParagraph"/>
        <w:numPr>
          <w:ilvl w:val="0"/>
          <w:numId w:val="2"/>
        </w:numPr>
        <w:spacing w:after="40" w:before="40"/>
      </w:pPr>
      <w:r>
        <w:rPr>
          <w:rFonts w:ascii="Arial" w:cs="Arial" w:eastAsia="Arial" w:hAnsi="Arial"/>
          <w:b w:val="false"/>
          <w:bCs w:val="false"/>
          <w:color w:val="1A1A1A"/>
          <w:sz w:val="22"/>
          <w:szCs w:val="22"/>
        </w:rPr>
        <w:t xml:space="preserve">Street Manager Open Data API — full permit lifecycle data including status changes, reinstatements, FPN records</w:t>
      </w:r>
    </w:p>
    <w:p>
      <w:pPr>
        <w:pStyle w:val="ListParagraph"/>
        <w:numPr>
          <w:ilvl w:val="0"/>
          <w:numId w:val="2"/>
        </w:numPr>
        <w:spacing w:after="40" w:before="40"/>
      </w:pPr>
      <w:r>
        <w:rPr>
          <w:rFonts w:ascii="Arial" w:cs="Arial" w:eastAsia="Arial" w:hAnsi="Arial"/>
          <w:b w:val="false"/>
          <w:bCs w:val="false"/>
          <w:color w:val="1A1A1A"/>
          <w:sz w:val="22"/>
          <w:szCs w:val="22"/>
        </w:rPr>
        <w:t xml:space="preserve">Street Manager Reporting API — aggregate statistics where available</w:t>
      </w:r>
    </w:p>
    <w:p>
      <w:pPr>
        <w:pStyle w:val="ListParagraph"/>
        <w:numPr>
          <w:ilvl w:val="0"/>
          <w:numId w:val="2"/>
        </w:numPr>
        <w:spacing w:after="40" w:before="40"/>
      </w:pPr>
      <w:r>
        <w:rPr>
          <w:rFonts w:ascii="Arial" w:cs="Arial" w:eastAsia="Arial" w:hAnsi="Arial"/>
          <w:b w:val="false"/>
          <w:bCs w:val="false"/>
          <w:color w:val="1A1A1A"/>
          <w:sz w:val="22"/>
          <w:szCs w:val="22"/>
        </w:rPr>
        <w:t xml:space="preserve">Companies House API (api.company-information.service.gov.uk) — verify promoter company identities and registration status</w:t>
      </w:r>
    </w:p>
    <w:p>
      <w:pPr>
        <w:pStyle w:val="ListParagraph"/>
        <w:numPr>
          <w:ilvl w:val="0"/>
          <w:numId w:val="2"/>
        </w:numPr>
        <w:spacing w:after="40" w:before="40"/>
      </w:pPr>
      <w:r>
        <w:rPr>
          <w:rFonts w:ascii="Arial" w:cs="Arial" w:eastAsia="Arial" w:hAnsi="Arial"/>
          <w:b w:val="false"/>
          <w:bCs w:val="false"/>
          <w:color w:val="1A1A1A"/>
          <w:sz w:val="22"/>
          <w:szCs w:val="22"/>
        </w:rPr>
        <w:t xml:space="preserve">Anthropic Claude API — generate plain-English monthly compliance briefings</w:t>
      </w:r>
    </w:p>
    <w:p>
      <w:pPr>
        <w:spacing w:after="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A32D2D" w:sz="1"/>
              <w:left w:val="single" w:color="A32D2D" w:sz="1"/>
              <w:bottom w:val="single" w:color="A32D2D" w:sz="1"/>
              <w:right w:val="single" w:color="A32D2D" w:sz="1"/>
            </w:tcBorders>
            <w:shd w:fill="A32D2D" w:val="clear"/>
            <w:tcMar>
              <w:top w:type="dxa" w:w="80"/>
              <w:left w:type="dxa" w:w="120"/>
              <w:bottom w:type="dxa" w:w="80"/>
              <w:right w:type="dxa" w:w="120"/>
            </w:tcMar>
            <w:vAlign w:val="center"/>
          </w:tcPr>
          <w:p>
            <w:pPr>
              <w:spacing w:after="60" w:before="60"/>
              <w:jc w:val="center"/>
            </w:pPr>
            <w:r>
              <w:rPr>
                <w:rFonts w:ascii="Arial" w:cs="Arial" w:eastAsia="Arial" w:hAnsi="Arial"/>
                <w:b/>
                <w:bCs/>
                <w:color w:val="FFFFFF"/>
                <w:sz w:val="28"/>
                <w:szCs w:val="28"/>
              </w:rPr>
              <w:t xml:space="preserve">PHASE 6</w:t>
            </w:r>
            <w:r>
              <w:rPr>
                <w:rFonts w:ascii="Arial" w:cs="Arial" w:eastAsia="Arial" w:hAnsi="Arial"/>
                <w:color w:val="FFFFFF"/>
                <w:sz w:val="18"/>
                <w:szCs w:val="18"/>
              </w:rPr>
              <w:br/>
              <w:t xml:space="preserve">
Weeks 23–28  |  Target: February–April 2027</w:t>
            </w:r>
          </w:p>
        </w:tc>
        <w:tc>
          <w:tcPr>
            <w:tcW w:type="dxa" w:w="7560"/>
            <w:tcBorders>
              <w:top w:val="single" w:color="A32D2D" w:sz="1"/>
              <w:left w:val="single" w:color="A32D2D" w:sz="1"/>
              <w:bottom w:val="single" w:color="A32D2D" w:sz="1"/>
              <w:right w:val="single" w:color="A32D2D" w:sz="1"/>
            </w:tcBorders>
            <w:shd w:fill="A32D2D" w:val="clear"/>
            <w:tcMar>
              <w:top w:type="dxa" w:w="80"/>
              <w:left w:type="dxa" w:w="120"/>
              <w:bottom w:type="dxa" w:w="80"/>
              <w:right w:type="dxa" w:w="120"/>
            </w:tcMar>
            <w:vAlign w:val="center"/>
          </w:tcPr>
          <w:p>
            <w:pPr>
              <w:spacing w:after="60" w:before="60"/>
            </w:pPr>
            <w:r>
              <w:rPr>
                <w:rFonts w:ascii="Arial" w:cs="Arial" w:eastAsia="Arial" w:hAnsi="Arial"/>
                <w:b/>
                <w:bCs/>
                <w:color w:val="FFFFFF"/>
                <w:sz w:val="26"/>
                <w:szCs w:val="26"/>
              </w:rPr>
              <w:t xml:space="preserve">D-TRO Integration &amp; Market Launch</w:t>
            </w:r>
          </w:p>
        </w:tc>
      </w:tr>
    </w:tbl>
    <w:p>
      <w:pPr>
        <w:spacing w:after="0" w:before="0"/>
      </w:pPr>
      <w:r>
        <w:t xml:space="preserve"/>
      </w:r>
    </w:p>
    <w:p>
      <w:pPr>
        <w:pStyle w:val="Heading3"/>
        <w:spacing w:after="80" w:before="200"/>
      </w:pPr>
      <w:r>
        <w:rPr>
          <w:rFonts w:ascii="Arial" w:cs="Arial" w:eastAsia="Arial" w:hAnsi="Arial"/>
          <w:b/>
          <w:bCs/>
          <w:color w:val="1B3A5C"/>
          <w:sz w:val="24"/>
          <w:szCs w:val="24"/>
        </w:rPr>
        <w:t xml:space="preserve">Problem Statement — Phase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32D2D" w:sz="1"/>
              <w:left w:val="single" w:color="A32D2D" w:sz="1"/>
              <w:bottom w:val="single" w:color="A32D2D" w:sz="1"/>
              <w:right w:val="single" w:color="A32D2D" w:sz="1"/>
            </w:tcBorders>
            <w:shd w:fill="FCEBEB"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The DfT has confirmed on its Street Manager roadmap that Digital Traffic Orders Integration — connecting Street Manager permit data with D-TRO and NUAR in a unified view — will not arrive until September 2027. The D-TRO public beta launched in July 2025 and is already producing machine-readable traffic regulation order data across England. StreetSense AI is uniquely positioned to integrate this data 18 months ahead of the government's own timeline, creating the first product that fuses live streetworks permits (Street Manager), digital traffic regulation orders (D-TRO), and underground asset intelligence (NUAR) into a single, AI-powered view of the road network — the exact integration Causeway Technologies has described as the future of CausewayOne but has not yet built.</w:t>
            </w:r>
          </w:p>
        </w:tc>
      </w:tr>
    </w:tbl>
    <w:p>
      <w:pPr>
        <w:spacing w:after="0" w:before="0"/>
      </w:pPr>
      <w:r>
        <w:t xml:space="preserve"/>
      </w:r>
    </w:p>
    <w:p>
      <w:pPr>
        <w:pStyle w:val="Heading3"/>
        <w:spacing w:after="80" w:before="200"/>
      </w:pPr>
      <w:r>
        <w:rPr>
          <w:rFonts w:ascii="Arial" w:cs="Arial" w:eastAsia="Arial" w:hAnsi="Arial"/>
          <w:b/>
          <w:bCs/>
          <w:color w:val="1B3A5C"/>
          <w:sz w:val="24"/>
          <w:szCs w:val="24"/>
        </w:rPr>
        <w:t xml:space="preserve">Modules</w:t>
      </w:r>
    </w:p>
    <w:p>
      <w:pPr>
        <w:pStyle w:val="ListParagraph"/>
        <w:numPr>
          <w:ilvl w:val="0"/>
          <w:numId w:val="2"/>
        </w:numPr>
        <w:spacing w:after="40" w:before="40"/>
      </w:pPr>
      <w:r>
        <w:rPr>
          <w:rFonts w:ascii="Arial" w:cs="Arial" w:eastAsia="Arial" w:hAnsi="Arial"/>
          <w:b w:val="false"/>
          <w:bCs w:val="false"/>
          <w:color w:val="1A1A1A"/>
          <w:sz w:val="22"/>
          <w:szCs w:val="22"/>
        </w:rPr>
        <w:t xml:space="preserve">DT-001: D-TRO public beta data consumer — ingest both TRO and TTRO records from DfT D-TRO API</w:t>
      </w:r>
    </w:p>
    <w:p>
      <w:pPr>
        <w:pStyle w:val="ListParagraph"/>
        <w:numPr>
          <w:ilvl w:val="0"/>
          <w:numId w:val="2"/>
        </w:numPr>
        <w:spacing w:after="40" w:before="40"/>
      </w:pPr>
      <w:r>
        <w:rPr>
          <w:rFonts w:ascii="Arial" w:cs="Arial" w:eastAsia="Arial" w:hAnsi="Arial"/>
          <w:b w:val="false"/>
          <w:bCs w:val="false"/>
          <w:color w:val="1A1A1A"/>
          <w:sz w:val="22"/>
          <w:szCs w:val="22"/>
        </w:rPr>
        <w:t xml:space="preserve">DT-002: Permit + TRO conflict detector — identify where a Street Manager permit overlaps spatially and temporally with an active TRO</w:t>
      </w:r>
    </w:p>
    <w:p>
      <w:pPr>
        <w:pStyle w:val="ListParagraph"/>
        <w:numPr>
          <w:ilvl w:val="0"/>
          <w:numId w:val="2"/>
        </w:numPr>
        <w:spacing w:after="40" w:before="40"/>
      </w:pPr>
      <w:r>
        <w:rPr>
          <w:rFonts w:ascii="Arial" w:cs="Arial" w:eastAsia="Arial" w:hAnsi="Arial"/>
          <w:b w:val="false"/>
          <w:bCs w:val="false"/>
          <w:color w:val="1A1A1A"/>
          <w:sz w:val="22"/>
          <w:szCs w:val="22"/>
        </w:rPr>
        <w:t xml:space="preserve">DT-003: Three-layer composite view — Street Manager + D-TRO + NUAR fused on single map canvas</w:t>
      </w:r>
    </w:p>
    <w:p>
      <w:pPr>
        <w:pStyle w:val="ListParagraph"/>
        <w:numPr>
          <w:ilvl w:val="0"/>
          <w:numId w:val="2"/>
        </w:numPr>
        <w:spacing w:after="40" w:before="40"/>
      </w:pPr>
      <w:r>
        <w:rPr>
          <w:rFonts w:ascii="Arial" w:cs="Arial" w:eastAsia="Arial" w:hAnsi="Arial"/>
          <w:b w:val="false"/>
          <w:bCs w:val="false"/>
          <w:color w:val="1A1A1A"/>
          <w:sz w:val="22"/>
          <w:szCs w:val="22"/>
        </w:rPr>
        <w:t xml:space="preserve">DT-004: Authority-facing accounts — login, saved corridor alerts, custom report scheduling</w:t>
      </w:r>
    </w:p>
    <w:p>
      <w:pPr>
        <w:pStyle w:val="ListParagraph"/>
        <w:numPr>
          <w:ilvl w:val="0"/>
          <w:numId w:val="2"/>
        </w:numPr>
        <w:spacing w:after="40" w:before="40"/>
      </w:pPr>
      <w:r>
        <w:rPr>
          <w:rFonts w:ascii="Arial" w:cs="Arial" w:eastAsia="Arial" w:hAnsi="Arial"/>
          <w:b w:val="false"/>
          <w:bCs w:val="false"/>
          <w:color w:val="1A1A1A"/>
          <w:sz w:val="22"/>
          <w:szCs w:val="22"/>
        </w:rPr>
        <w:t xml:space="preserve">DT-005: Causeway CausewayOne embeddable widget — iframe or JS embed of StreetSense map for CausewayOne UI integration</w:t>
      </w:r>
    </w:p>
    <w:p>
      <w:pPr>
        <w:pStyle w:val="ListParagraph"/>
        <w:numPr>
          <w:ilvl w:val="0"/>
          <w:numId w:val="2"/>
        </w:numPr>
        <w:spacing w:after="40" w:before="40"/>
      </w:pPr>
      <w:r>
        <w:rPr>
          <w:rFonts w:ascii="Arial" w:cs="Arial" w:eastAsia="Arial" w:hAnsi="Arial"/>
          <w:b w:val="false"/>
          <w:bCs w:val="false"/>
          <w:color w:val="1A1A1A"/>
          <w:sz w:val="22"/>
          <w:szCs w:val="22"/>
        </w:rPr>
        <w:t xml:space="preserve">DT-006: Public launch content — technical blog post, LinkedIn announcement, ADEPT/HAUC engagement</w:t>
      </w:r>
    </w:p>
    <w:p>
      <w:pPr>
        <w:pStyle w:val="ListParagraph"/>
        <w:numPr>
          <w:ilvl w:val="0"/>
          <w:numId w:val="2"/>
        </w:numPr>
        <w:spacing w:after="40" w:before="40"/>
      </w:pPr>
      <w:r>
        <w:rPr>
          <w:rFonts w:ascii="Arial" w:cs="Arial" w:eastAsia="Arial" w:hAnsi="Arial"/>
          <w:b w:val="false"/>
          <w:bCs w:val="false"/>
          <w:color w:val="1A1A1A"/>
          <w:sz w:val="22"/>
          <w:szCs w:val="22"/>
        </w:rPr>
        <w:t xml:space="preserve">DT-007: Commercial proposition deck — one-page summary for Causeway leadership conversation</w:t>
      </w:r>
    </w:p>
    <w:p>
      <w:pPr>
        <w:spacing w:after="0" w:before="0"/>
      </w:pPr>
      <w:r>
        <w:t xml:space="preserve"/>
      </w:r>
    </w:p>
    <w:p>
      <w:pPr>
        <w:pStyle w:val="Heading3"/>
        <w:spacing w:after="80" w:before="200"/>
      </w:pPr>
      <w:r>
        <w:rPr>
          <w:rFonts w:ascii="Arial" w:cs="Arial" w:eastAsia="Arial" w:hAnsi="Arial"/>
          <w:b/>
          <w:bCs/>
          <w:color w:val="1B3A5C"/>
          <w:sz w:val="24"/>
          <w:szCs w:val="24"/>
        </w:rPr>
        <w:t xml:space="preserve">Success Matrix — Phase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1680"/>
        <w:gridCol w:w="1680"/>
      </w:tblGrid>
      <w:tr>
        <w:trPr>
          <w:tblHeader/>
        </w:trPr>
        <w:tc>
          <w:tcPr>
            <w:tcW w:type="dxa" w:w="3200"/>
            <w:tcBorders>
              <w:top w:val="single" w:color="A32D2D" w:sz="1"/>
              <w:left w:val="single" w:color="A32D2D" w:sz="1"/>
              <w:bottom w:val="single" w:color="A32D2D" w:sz="1"/>
              <w:right w:val="single" w:color="A32D2D" w:sz="1"/>
            </w:tcBorders>
            <w:shd w:fill="A32D2D"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Metric</w:t>
            </w:r>
          </w:p>
        </w:tc>
        <w:tc>
          <w:tcPr>
            <w:tcW w:type="dxa" w:w="2800"/>
            <w:tcBorders>
              <w:top w:val="single" w:color="A32D2D" w:sz="1"/>
              <w:left w:val="single" w:color="A32D2D" w:sz="1"/>
              <w:bottom w:val="single" w:color="A32D2D" w:sz="1"/>
              <w:right w:val="single" w:color="A32D2D" w:sz="1"/>
            </w:tcBorders>
            <w:shd w:fill="A32D2D"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Target</w:t>
            </w:r>
          </w:p>
        </w:tc>
        <w:tc>
          <w:tcPr>
            <w:tcW w:type="dxa" w:w="1680"/>
            <w:tcBorders>
              <w:top w:val="single" w:color="A32D2D" w:sz="1"/>
              <w:left w:val="single" w:color="A32D2D" w:sz="1"/>
              <w:bottom w:val="single" w:color="A32D2D" w:sz="1"/>
              <w:right w:val="single" w:color="A32D2D" w:sz="1"/>
            </w:tcBorders>
            <w:shd w:fill="A32D2D"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Measurement</w:t>
            </w:r>
          </w:p>
        </w:tc>
        <w:tc>
          <w:tcPr>
            <w:tcW w:type="dxa" w:w="1680"/>
            <w:tcBorders>
              <w:top w:val="single" w:color="A32D2D" w:sz="1"/>
              <w:left w:val="single" w:color="A32D2D" w:sz="1"/>
              <w:bottom w:val="single" w:color="A32D2D" w:sz="1"/>
              <w:right w:val="single" w:color="A32D2D" w:sz="1"/>
            </w:tcBorders>
            <w:shd w:fill="A32D2D"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Owner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D-TRO records ingested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All published D-TRO records for England</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Database count</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Engineer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Three-layer integration live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SM + D-TRO + NUAR rendering on single map</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Live demo URL</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Engineer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Registered authority users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10 highway authority accounts created</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Auth database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Founder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Causeway commercial meeting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Formal partnership / licensing conversation initiated</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Calendar / CRM</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Founder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LinkedIn / media reach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1 article in Construction News, Highways News, or ITS International</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Press clippings</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Founder</w:t>
            </w:r>
          </w:p>
        </w:tc>
      </w:tr>
    </w:tbl>
    <w:p>
      <w:pPr>
        <w:spacing w:after="0" w:before="0"/>
      </w:pPr>
      <w:r>
        <w:t xml:space="preserve"/>
      </w:r>
    </w:p>
    <w:p>
      <w:pPr>
        <w:pStyle w:val="Heading3"/>
        <w:spacing w:after="80" w:before="200"/>
      </w:pPr>
      <w:r>
        <w:rPr>
          <w:rFonts w:ascii="Arial" w:cs="Arial" w:eastAsia="Arial" w:hAnsi="Arial"/>
          <w:b/>
          <w:bCs/>
          <w:color w:val="1B3A5C"/>
          <w:sz w:val="24"/>
          <w:szCs w:val="24"/>
        </w:rPr>
        <w:t xml:space="preserve">APIs Used in Phase 6</w:t>
      </w:r>
    </w:p>
    <w:p>
      <w:pPr>
        <w:pStyle w:val="ListParagraph"/>
        <w:numPr>
          <w:ilvl w:val="0"/>
          <w:numId w:val="2"/>
        </w:numPr>
        <w:spacing w:after="40" w:before="40"/>
      </w:pPr>
      <w:r>
        <w:rPr>
          <w:rFonts w:ascii="Arial" w:cs="Arial" w:eastAsia="Arial" w:hAnsi="Arial"/>
          <w:b w:val="false"/>
          <w:bCs w:val="false"/>
          <w:color w:val="1A1A1A"/>
          <w:sz w:val="22"/>
          <w:szCs w:val="22"/>
        </w:rPr>
        <w:t xml:space="preserve">D-TRO API (DfT) — Digital Traffic Regulation Order data, public beta, both TRO and TTRO records</w:t>
      </w:r>
    </w:p>
    <w:p>
      <w:pPr>
        <w:pStyle w:val="ListParagraph"/>
        <w:numPr>
          <w:ilvl w:val="0"/>
          <w:numId w:val="2"/>
        </w:numPr>
        <w:spacing w:after="40" w:before="40"/>
      </w:pPr>
      <w:r>
        <w:rPr>
          <w:rFonts w:ascii="Arial" w:cs="Arial" w:eastAsia="Arial" w:hAnsi="Arial"/>
          <w:b w:val="false"/>
          <w:bCs w:val="false"/>
          <w:color w:val="1A1A1A"/>
          <w:sz w:val="22"/>
          <w:szCs w:val="22"/>
        </w:rPr>
        <w:t xml:space="preserve">Street Manager Open Data API — continued permit data backbone</w:t>
      </w:r>
    </w:p>
    <w:p>
      <w:pPr>
        <w:pStyle w:val="ListParagraph"/>
        <w:numPr>
          <w:ilvl w:val="0"/>
          <w:numId w:val="2"/>
        </w:numPr>
        <w:spacing w:after="40" w:before="40"/>
      </w:pPr>
      <w:r>
        <w:rPr>
          <w:rFonts w:ascii="Arial" w:cs="Arial" w:eastAsia="Arial" w:hAnsi="Arial"/>
          <w:b w:val="false"/>
          <w:bCs w:val="false"/>
          <w:color w:val="1A1A1A"/>
          <w:sz w:val="22"/>
          <w:szCs w:val="22"/>
        </w:rPr>
        <w:t xml:space="preserve">NUAR API — continued underground asset risk layer</w:t>
      </w:r>
    </w:p>
    <w:p>
      <w:pPr>
        <w:pStyle w:val="ListParagraph"/>
        <w:numPr>
          <w:ilvl w:val="0"/>
          <w:numId w:val="2"/>
        </w:numPr>
        <w:spacing w:after="40" w:before="40"/>
      </w:pPr>
      <w:r>
        <w:rPr>
          <w:rFonts w:ascii="Arial" w:cs="Arial" w:eastAsia="Arial" w:hAnsi="Arial"/>
          <w:b w:val="false"/>
          <w:bCs w:val="false"/>
          <w:color w:val="1A1A1A"/>
          <w:sz w:val="22"/>
          <w:szCs w:val="22"/>
        </w:rPr>
        <w:t xml:space="preserve">Mapbox GL JS — continued map rendering, now with three-layer data source</w:t>
      </w:r>
    </w:p>
    <w:p>
      <w:pPr>
        <w:pStyle w:val="ListParagraph"/>
        <w:numPr>
          <w:ilvl w:val="0"/>
          <w:numId w:val="2"/>
        </w:numPr>
        <w:spacing w:after="40" w:before="40"/>
      </w:pPr>
      <w:r>
        <w:rPr>
          <w:rFonts w:ascii="Arial" w:cs="Arial" w:eastAsia="Arial" w:hAnsi="Arial"/>
          <w:b w:val="false"/>
          <w:bCs w:val="false"/>
          <w:color w:val="1A1A1A"/>
          <w:sz w:val="22"/>
          <w:szCs w:val="22"/>
        </w:rPr>
        <w:t xml:space="preserve">Anthropic Claude API — continued AI copilot, now with D-TRO context</w:t>
      </w:r>
    </w:p>
    <w:p>
      <w:pPr>
        <w:pStyle w:val="ListParagraph"/>
        <w:numPr>
          <w:ilvl w:val="0"/>
          <w:numId w:val="2"/>
        </w:numPr>
        <w:spacing w:after="40" w:before="40"/>
      </w:pPr>
      <w:r>
        <w:rPr>
          <w:rFonts w:ascii="Arial" w:cs="Arial" w:eastAsia="Arial" w:hAnsi="Arial"/>
          <w:b w:val="false"/>
          <w:bCs w:val="false"/>
          <w:color w:val="1A1A1A"/>
          <w:sz w:val="22"/>
          <w:szCs w:val="22"/>
        </w:rPr>
        <w:t xml:space="preserve">Clerk / Supabase Auth — user authentication for authority accounts</w:t>
      </w:r>
    </w:p>
    <w:p>
      <w:pPr>
        <w:pStyle w:val="ListParagraph"/>
        <w:numPr>
          <w:ilvl w:val="0"/>
          <w:numId w:val="2"/>
        </w:numPr>
        <w:spacing w:after="40" w:before="40"/>
      </w:pPr>
      <w:r>
        <w:rPr>
          <w:rFonts w:ascii="Arial" w:cs="Arial" w:eastAsia="Arial" w:hAnsi="Arial"/>
          <w:b w:val="false"/>
          <w:bCs w:val="false"/>
          <w:color w:val="1A1A1A"/>
          <w:sz w:val="22"/>
          <w:szCs w:val="22"/>
        </w:rPr>
        <w:t xml:space="preserve">Resend / Mailgun — automated alert and report delivery</w:t>
      </w:r>
    </w:p>
    <w:p>
      <w:r>
        <w:br w:type="page"/>
      </w:r>
    </w:p>
    <w:p>
      <w:pPr>
        <w:pStyle w:val="Heading1"/>
        <w:pBdr>
          <w:bottom w:val="single" w:color="0F6E56" w:sz="6" w:space="4"/>
        </w:pBdr>
        <w:spacing w:after="160" w:before="360"/>
      </w:pPr>
      <w:r>
        <w:rPr>
          <w:rFonts w:ascii="Arial" w:cs="Arial" w:eastAsia="Arial" w:hAnsi="Arial"/>
          <w:b/>
          <w:bCs/>
          <w:color w:val="1B3A5C"/>
          <w:sz w:val="36"/>
          <w:szCs w:val="36"/>
        </w:rPr>
        <w:t xml:space="preserve">5. Master API Reference</w:t>
      </w:r>
    </w:p>
    <w:p>
      <w:pPr>
        <w:spacing w:after="80" w:before="80"/>
        <w:jc w:val="left"/>
      </w:pPr>
      <w:r>
        <w:rPr>
          <w:rFonts w:ascii="Arial" w:cs="Arial" w:eastAsia="Arial" w:hAnsi="Arial"/>
          <w:b w:val="false"/>
          <w:bCs w:val="false"/>
          <w:i w:val="false"/>
          <w:iCs w:val="false"/>
          <w:color w:val="1A1A1A"/>
          <w:sz w:val="22"/>
          <w:szCs w:val="22"/>
        </w:rPr>
        <w:t xml:space="preserve">All APIs used across the full StreetSense AI project. Every API listed here is either freely accessible under an Open Government Licence, available under a free-tier commercial licence, or available via a free developer registration. No commercial data licensing agreements are required for the MVP.</w:t>
      </w:r>
    </w:p>
    <w:p>
      <w:pPr>
        <w:spacing w:after="0" w:before="0"/>
      </w:pPr>
      <w:r>
        <w:t xml:space="preserve"/>
      </w:r>
    </w:p>
    <w:p>
      <w:pPr>
        <w:pStyle w:val="Heading2"/>
        <w:spacing w:after="120" w:before="280"/>
      </w:pPr>
      <w:r>
        <w:rPr>
          <w:rFonts w:ascii="Arial" w:cs="Arial" w:eastAsia="Arial" w:hAnsi="Arial"/>
          <w:b/>
          <w:bCs/>
          <w:color w:val="0F6E56"/>
          <w:sz w:val="28"/>
          <w:szCs w:val="28"/>
        </w:rPr>
        <w:t xml:space="preserve">5.1 Government Open Data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1400"/>
        <w:gridCol w:w="2360"/>
      </w:tblGrid>
      <w:tr>
        <w:trPr>
          <w:tblHeader/>
        </w:trPr>
        <w:tc>
          <w:tcPr>
            <w:tcW w:type="dxa" w:w="18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API</w:t>
            </w:r>
          </w:p>
        </w:tc>
        <w:tc>
          <w:tcPr>
            <w:tcW w:type="dxa" w:w="20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Provider</w:t>
            </w:r>
          </w:p>
        </w:tc>
        <w:tc>
          <w:tcPr>
            <w:tcW w:type="dxa" w:w="18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Base URL</w:t>
            </w:r>
          </w:p>
        </w:tc>
        <w:tc>
          <w:tcPr>
            <w:tcW w:type="dxa" w:w="14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Licence</w:t>
            </w:r>
          </w:p>
        </w:tc>
        <w:tc>
          <w:tcPr>
            <w:tcW w:type="dxa" w:w="236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Phases Used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bCs/>
                <w:color w:val="1A1A1A"/>
                <w:sz w:val="20"/>
                <w:szCs w:val="20"/>
              </w:rPr>
              <w:t xml:space="preserve">Street Manager Open Data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Department for Transport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api.sandbox.manage-roadworks.service.gov.uk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OGL v3 (Free)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1, 2, 3, 4, 5, 6</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bCs/>
                <w:color w:val="1A1A1A"/>
                <w:sz w:val="20"/>
                <w:szCs w:val="20"/>
              </w:rPr>
              <w:t xml:space="preserve">Street Manager API v7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DfT / Kainos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api.manage-roadworks.service.gov.uk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Registered access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1, 2, 5, 6</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bCs/>
                <w:color w:val="1A1A1A"/>
                <w:sz w:val="20"/>
                <w:szCs w:val="20"/>
              </w:rPr>
              <w:t xml:space="preserve">D-TRO Public Beta API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DfT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dtro.dft.gov.uk/api (beta)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OGL v3 (Free)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6</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bCs/>
                <w:color w:val="1A1A1A"/>
                <w:sz w:val="20"/>
                <w:szCs w:val="20"/>
              </w:rPr>
              <w:t xml:space="preserve">NUAR Asset Feature Service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Ordnance Survey / GDS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nuar.uk API</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Free (registered)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4, 6</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bCs/>
                <w:color w:val="1A1A1A"/>
                <w:sz w:val="20"/>
                <w:szCs w:val="20"/>
              </w:rPr>
              <w:t xml:space="preserve">NUAR Enquiry API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Ordnance Survey / GDS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github.com/national-underground-asset-register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OGL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4</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bCs/>
                <w:color w:val="1A1A1A"/>
                <w:sz w:val="20"/>
                <w:szCs w:val="20"/>
              </w:rPr>
              <w:t xml:space="preserve">Companies House API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Companies House (HMRC)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api.company-information.service.gov.uk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OGL v3 (Free)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5</w:t>
            </w:r>
          </w:p>
        </w:tc>
      </w:tr>
    </w:tbl>
    <w:p>
      <w:pPr>
        <w:spacing w:after="0" w:before="0"/>
      </w:pPr>
      <w:r>
        <w:t xml:space="preserve"/>
      </w:r>
    </w:p>
    <w:p>
      <w:pPr>
        <w:pStyle w:val="Heading2"/>
        <w:spacing w:after="120" w:before="280"/>
      </w:pPr>
      <w:r>
        <w:rPr>
          <w:rFonts w:ascii="Arial" w:cs="Arial" w:eastAsia="Arial" w:hAnsi="Arial"/>
          <w:b/>
          <w:bCs/>
          <w:color w:val="0F6E56"/>
          <w:sz w:val="28"/>
          <w:szCs w:val="28"/>
        </w:rPr>
        <w:t xml:space="preserve">5.2 Ordnance Survey Data Hub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000"/>
        <w:gridCol w:w="2760"/>
      </w:tblGrid>
      <w:tr>
        <w:trPr>
          <w:tblHeader/>
        </w:trPr>
        <w:tc>
          <w:tcPr>
            <w:tcW w:type="dxa" w:w="2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API</w:t>
            </w:r>
          </w:p>
        </w:tc>
        <w:tc>
          <w:tcPr>
            <w:tcW w:type="dxa" w:w="24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Purpose</w:t>
            </w:r>
          </w:p>
        </w:tc>
        <w:tc>
          <w:tcPr>
            <w:tcW w:type="dxa" w:w="20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Free Tier</w:t>
            </w:r>
          </w:p>
        </w:tc>
        <w:tc>
          <w:tcPr>
            <w:tcW w:type="dxa" w:w="27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Phases Used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bCs/>
                <w:color w:val="1A1A1A"/>
                <w:sz w:val="20"/>
                <w:szCs w:val="20"/>
              </w:rPr>
              <w:t xml:space="preserve">OS National Street Gazetteer (NSG)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USRN resolution — match street names to unique IDs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1M transactions/month</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1, 2, 3, 4, 5, 6</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bCs/>
                <w:color w:val="1A1A1A"/>
                <w:sz w:val="20"/>
                <w:szCs w:val="20"/>
              </w:rPr>
              <w:t xml:space="preserve">OS Open Roads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Road geometry and classification for corridor definition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Free download + API</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1, 2</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bCs/>
                <w:color w:val="1A1A1A"/>
                <w:sz w:val="20"/>
                <w:szCs w:val="20"/>
              </w:rPr>
              <w:t xml:space="preserve">OS Names API</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Place name geocoding for copilot location queries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1M transactions/month</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3</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bCs/>
                <w:color w:val="1A1A1A"/>
                <w:sz w:val="20"/>
                <w:szCs w:val="20"/>
              </w:rPr>
              <w:t xml:space="preserve">OS Vector Tiles API</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Base map tiles for Mapbox rendering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1M tiles/month</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2, 4, 6</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bCs/>
                <w:color w:val="1A1A1A"/>
                <w:sz w:val="20"/>
                <w:szCs w:val="20"/>
              </w:rPr>
              <w:t xml:space="preserve">DataVia NSG API</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NSG migration target (Street Manager Phase 13)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TBC (in development)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1 (future-proofing)</w:t>
            </w:r>
          </w:p>
        </w:tc>
      </w:tr>
    </w:tbl>
    <w:p>
      <w:pPr>
        <w:spacing w:after="0" w:before="0"/>
      </w:pPr>
      <w:r>
        <w:t xml:space="preserve"/>
      </w:r>
    </w:p>
    <w:p>
      <w:pPr>
        <w:pStyle w:val="Heading2"/>
        <w:spacing w:after="120" w:before="280"/>
      </w:pPr>
      <w:r>
        <w:rPr>
          <w:rFonts w:ascii="Arial" w:cs="Arial" w:eastAsia="Arial" w:hAnsi="Arial"/>
          <w:b/>
          <w:bCs/>
          <w:color w:val="0F6E56"/>
          <w:sz w:val="28"/>
          <w:szCs w:val="28"/>
        </w:rPr>
        <w:t xml:space="preserve">5.3 AI &amp; LLM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rPr>
          <w:tblHeader/>
        </w:trPr>
        <w:tc>
          <w:tcPr>
            <w:tcW w:type="dxa" w:w="2200"/>
            <w:tcBorders>
              <w:top w:val="single" w:color="534AB7" w:sz="1"/>
              <w:left w:val="single" w:color="534AB7" w:sz="1"/>
              <w:bottom w:val="single" w:color="534AB7" w:sz="1"/>
              <w:right w:val="single" w:color="534AB7" w:sz="1"/>
            </w:tcBorders>
            <w:shd w:fill="534AB7"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API / Library</w:t>
            </w:r>
          </w:p>
        </w:tc>
        <w:tc>
          <w:tcPr>
            <w:tcW w:type="dxa" w:w="2400"/>
            <w:tcBorders>
              <w:top w:val="single" w:color="534AB7" w:sz="1"/>
              <w:left w:val="single" w:color="534AB7" w:sz="1"/>
              <w:bottom w:val="single" w:color="534AB7" w:sz="1"/>
              <w:right w:val="single" w:color="534AB7" w:sz="1"/>
            </w:tcBorders>
            <w:shd w:fill="534AB7"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Provider</w:t>
            </w:r>
          </w:p>
        </w:tc>
        <w:tc>
          <w:tcPr>
            <w:tcW w:type="dxa" w:w="2400"/>
            <w:tcBorders>
              <w:top w:val="single" w:color="534AB7" w:sz="1"/>
              <w:left w:val="single" w:color="534AB7" w:sz="1"/>
              <w:bottom w:val="single" w:color="534AB7" w:sz="1"/>
              <w:right w:val="single" w:color="534AB7" w:sz="1"/>
            </w:tcBorders>
            <w:shd w:fill="534AB7"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Purpose</w:t>
            </w:r>
          </w:p>
        </w:tc>
        <w:tc>
          <w:tcPr>
            <w:tcW w:type="dxa" w:w="2360"/>
            <w:tcBorders>
              <w:top w:val="single" w:color="534AB7" w:sz="1"/>
              <w:left w:val="single" w:color="534AB7" w:sz="1"/>
              <w:bottom w:val="single" w:color="534AB7" w:sz="1"/>
              <w:right w:val="single" w:color="534AB7" w:sz="1"/>
            </w:tcBorders>
            <w:shd w:fill="534AB7"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Phases Used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bCs/>
                <w:color w:val="1A1A1A"/>
                <w:sz w:val="20"/>
                <w:szCs w:val="20"/>
              </w:rPr>
              <w:t xml:space="preserve">Claude API (claude-sonnet-4-20250514)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Anthropic</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Primary LLM — copilot reasoning, plain-English generation, compliance briefings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3, 5, 6</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bCs/>
                <w:color w:val="1A1A1A"/>
                <w:sz w:val="20"/>
                <w:szCs w:val="20"/>
              </w:rPr>
              <w:t xml:space="preserve">Claude Haiku (claude-haiku-4-5-20251001)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Anthropic</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Fast, low-cost responses for permit summaries and simple lookups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3, 4, 5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bCs/>
                <w:color w:val="1A1A1A"/>
                <w:sz w:val="20"/>
                <w:szCs w:val="20"/>
              </w:rPr>
              <w:t xml:space="preserve">LangChain Python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LangChain AI</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Agent orchestration, tool calling, conversation memory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3, 4, 5, 6</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bCs/>
                <w:color w:val="1A1A1A"/>
                <w:sz w:val="20"/>
                <w:szCs w:val="20"/>
              </w:rPr>
              <w:t xml:space="preserve">LlamaIndex (optional)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LlamaIndex</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RAG over historical permit corpus if needed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5 (optional)</w:t>
            </w:r>
          </w:p>
        </w:tc>
      </w:tr>
    </w:tbl>
    <w:p>
      <w:pPr>
        <w:spacing w:after="0" w:before="0"/>
      </w:pPr>
      <w:r>
        <w:t xml:space="preserve"/>
      </w:r>
    </w:p>
    <w:p>
      <w:pPr>
        <w:pStyle w:val="Heading2"/>
        <w:spacing w:after="120" w:before="280"/>
      </w:pPr>
      <w:r>
        <w:rPr>
          <w:rFonts w:ascii="Arial" w:cs="Arial" w:eastAsia="Arial" w:hAnsi="Arial"/>
          <w:b/>
          <w:bCs/>
          <w:color w:val="0F6E56"/>
          <w:sz w:val="28"/>
          <w:szCs w:val="28"/>
        </w:rPr>
        <w:t xml:space="preserve">5.4 Mapping &amp; Geospatial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rPr>
          <w:tblHeader/>
        </w:trPr>
        <w:tc>
          <w:tcPr>
            <w:tcW w:type="dxa" w:w="2200"/>
            <w:tcBorders>
              <w:top w:val="single" w:color="3B6D11" w:sz="1"/>
              <w:left w:val="single" w:color="3B6D11" w:sz="1"/>
              <w:bottom w:val="single" w:color="3B6D11" w:sz="1"/>
              <w:right w:val="single" w:color="3B6D11" w:sz="1"/>
            </w:tcBorders>
            <w:shd w:fill="3B6D11"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API / Library</w:t>
            </w:r>
          </w:p>
        </w:tc>
        <w:tc>
          <w:tcPr>
            <w:tcW w:type="dxa" w:w="2400"/>
            <w:tcBorders>
              <w:top w:val="single" w:color="3B6D11" w:sz="1"/>
              <w:left w:val="single" w:color="3B6D11" w:sz="1"/>
              <w:bottom w:val="single" w:color="3B6D11" w:sz="1"/>
              <w:right w:val="single" w:color="3B6D11" w:sz="1"/>
            </w:tcBorders>
            <w:shd w:fill="3B6D11"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Provider</w:t>
            </w:r>
          </w:p>
        </w:tc>
        <w:tc>
          <w:tcPr>
            <w:tcW w:type="dxa" w:w="2400"/>
            <w:tcBorders>
              <w:top w:val="single" w:color="3B6D11" w:sz="1"/>
              <w:left w:val="single" w:color="3B6D11" w:sz="1"/>
              <w:bottom w:val="single" w:color="3B6D11" w:sz="1"/>
              <w:right w:val="single" w:color="3B6D11" w:sz="1"/>
            </w:tcBorders>
            <w:shd w:fill="3B6D11"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Free Tier</w:t>
            </w:r>
          </w:p>
        </w:tc>
        <w:tc>
          <w:tcPr>
            <w:tcW w:type="dxa" w:w="2360"/>
            <w:tcBorders>
              <w:top w:val="single" w:color="3B6D11" w:sz="1"/>
              <w:left w:val="single" w:color="3B6D11" w:sz="1"/>
              <w:bottom w:val="single" w:color="3B6D11" w:sz="1"/>
              <w:right w:val="single" w:color="3B6D11" w:sz="1"/>
            </w:tcBorders>
            <w:shd w:fill="3B6D11"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Phases Used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bCs/>
                <w:color w:val="1A1A1A"/>
                <w:sz w:val="20"/>
                <w:szCs w:val="20"/>
              </w:rPr>
              <w:t xml:space="preserve">Mapbox GL JS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Mapbox</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50,000 map loads/month</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2, 3, 4, 5, 6</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bCs/>
                <w:color w:val="1A1A1A"/>
                <w:sz w:val="20"/>
                <w:szCs w:val="20"/>
              </w:rPr>
              <w:t xml:space="preserve">PostGIS (PostgreSQL extension)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Open Source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Free — self-hosted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1, 2, 3, 4, 5, 6</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bCs/>
                <w:color w:val="1A1A1A"/>
                <w:sz w:val="20"/>
                <w:szCs w:val="20"/>
              </w:rPr>
              <w:t xml:space="preserve">Turf.js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Open Source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Free — geospatial analysis in Node.js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2, 4</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bCs/>
                <w:color w:val="1A1A1A"/>
                <w:sz w:val="20"/>
                <w:szCs w:val="20"/>
              </w:rPr>
              <w:t xml:space="preserve">WZDx Feed (US)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FHWA / DOT (US)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Free — open GeoJSON feeds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2, 6 (US expansion)</w:t>
            </w:r>
          </w:p>
        </w:tc>
      </w:tr>
    </w:tbl>
    <w:p>
      <w:pPr>
        <w:spacing w:after="0" w:before="0"/>
      </w:pPr>
      <w:r>
        <w:t xml:space="preserve"/>
      </w:r>
    </w:p>
    <w:p>
      <w:pPr>
        <w:pStyle w:val="Heading2"/>
        <w:spacing w:after="120" w:before="280"/>
      </w:pPr>
      <w:r>
        <w:rPr>
          <w:rFonts w:ascii="Arial" w:cs="Arial" w:eastAsia="Arial" w:hAnsi="Arial"/>
          <w:b/>
          <w:bCs/>
          <w:color w:val="0F6E56"/>
          <w:sz w:val="28"/>
          <w:szCs w:val="28"/>
        </w:rPr>
        <w:t xml:space="preserve">5.5 Infrastructure &amp; Platform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rPr>
          <w:tblHeader/>
        </w:trPr>
        <w:tc>
          <w:tcPr>
            <w:tcW w:type="dxa" w:w="2200"/>
            <w:tcBorders>
              <w:top w:val="single" w:color="5F5E5A" w:sz="1"/>
              <w:left w:val="single" w:color="5F5E5A" w:sz="1"/>
              <w:bottom w:val="single" w:color="5F5E5A" w:sz="1"/>
              <w:right w:val="single" w:color="5F5E5A" w:sz="1"/>
            </w:tcBorders>
            <w:shd w:fill="5F5E5A"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Service</w:t>
            </w:r>
          </w:p>
        </w:tc>
        <w:tc>
          <w:tcPr>
            <w:tcW w:type="dxa" w:w="2400"/>
            <w:tcBorders>
              <w:top w:val="single" w:color="5F5E5A" w:sz="1"/>
              <w:left w:val="single" w:color="5F5E5A" w:sz="1"/>
              <w:bottom w:val="single" w:color="5F5E5A" w:sz="1"/>
              <w:right w:val="single" w:color="5F5E5A" w:sz="1"/>
            </w:tcBorders>
            <w:shd w:fill="5F5E5A"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Provider</w:t>
            </w:r>
          </w:p>
        </w:tc>
        <w:tc>
          <w:tcPr>
            <w:tcW w:type="dxa" w:w="2400"/>
            <w:tcBorders>
              <w:top w:val="single" w:color="5F5E5A" w:sz="1"/>
              <w:left w:val="single" w:color="5F5E5A" w:sz="1"/>
              <w:bottom w:val="single" w:color="5F5E5A" w:sz="1"/>
              <w:right w:val="single" w:color="5F5E5A" w:sz="1"/>
            </w:tcBorders>
            <w:shd w:fill="5F5E5A"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Purpose</w:t>
            </w:r>
          </w:p>
        </w:tc>
        <w:tc>
          <w:tcPr>
            <w:tcW w:type="dxa" w:w="2360"/>
            <w:tcBorders>
              <w:top w:val="single" w:color="5F5E5A" w:sz="1"/>
              <w:left w:val="single" w:color="5F5E5A" w:sz="1"/>
              <w:bottom w:val="single" w:color="5F5E5A" w:sz="1"/>
              <w:right w:val="single" w:color="5F5E5A" w:sz="1"/>
            </w:tcBorders>
            <w:shd w:fill="5F5E5A"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Phases Used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bCs/>
                <w:color w:val="1A1A1A"/>
                <w:sz w:val="20"/>
                <w:szCs w:val="20"/>
              </w:rPr>
              <w:t xml:space="preserve">Railway / Fly.io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Railway / Fly.io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FastAPI backend hosting — free tier available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1, 2, 3, 4, 5, 6</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bCs/>
                <w:color w:val="1A1A1A"/>
                <w:sz w:val="20"/>
                <w:szCs w:val="20"/>
              </w:rPr>
              <w:t xml:space="preserve">Supabase / Clerk Auth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Supabase / Clerk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User authentication for authority accounts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6</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bCs/>
                <w:color w:val="1A1A1A"/>
                <w:sz w:val="20"/>
                <w:szCs w:val="20"/>
              </w:rPr>
              <w:t xml:space="preserve">Redis (Upstash)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Upstash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Conversation session state and caching</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3, 4, 5, 6</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bCs/>
                <w:color w:val="1A1A1A"/>
                <w:sz w:val="20"/>
                <w:szCs w:val="20"/>
              </w:rPr>
              <w:t xml:space="preserve">Resend / Mailgun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Resend / Mailgun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Alert emails and monthly compliance reports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5, 6</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bCs/>
                <w:color w:val="1A1A1A"/>
                <w:sz w:val="20"/>
                <w:szCs w:val="20"/>
              </w:rPr>
              <w:t xml:space="preserve">UptimeRobot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UptimeRobot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Service health monitoring — free tier</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1, 2, 3, 4, 5, 6</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bCs/>
                <w:color w:val="1A1A1A"/>
                <w:sz w:val="20"/>
                <w:szCs w:val="20"/>
              </w:rPr>
              <w:t xml:space="preserve">Met Office DataPoint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Met Office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Weather context for works scheduling recommendations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3 (optional)</w:t>
            </w:r>
          </w:p>
        </w:tc>
      </w:tr>
    </w:tbl>
    <w:p>
      <w:r>
        <w:br w:type="page"/>
      </w:r>
    </w:p>
    <w:p>
      <w:pPr>
        <w:pStyle w:val="Heading1"/>
        <w:pBdr>
          <w:bottom w:val="single" w:color="0F6E56" w:sz="6" w:space="4"/>
        </w:pBdr>
        <w:spacing w:after="160" w:before="360"/>
      </w:pPr>
      <w:r>
        <w:rPr>
          <w:rFonts w:ascii="Arial" w:cs="Arial" w:eastAsia="Arial" w:hAnsi="Arial"/>
          <w:b/>
          <w:bCs/>
          <w:color w:val="1B3A5C"/>
          <w:sz w:val="36"/>
          <w:szCs w:val="36"/>
        </w:rPr>
        <w:t xml:space="preserve">6. Recommended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rPr>
          <w:tblHeader/>
        </w:trPr>
        <w:tc>
          <w:tcPr>
            <w:tcW w:type="dxa" w:w="20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Layer</w:t>
            </w:r>
          </w:p>
        </w:tc>
        <w:tc>
          <w:tcPr>
            <w:tcW w:type="dxa" w:w="26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Technology</w:t>
            </w:r>
          </w:p>
        </w:tc>
        <w:tc>
          <w:tcPr>
            <w:tcW w:type="dxa" w:w="47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Rationale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bCs/>
                <w:color w:val="1A1A1A"/>
                <w:sz w:val="20"/>
                <w:szCs w:val="20"/>
              </w:rPr>
              <w:t xml:space="preserve">Backend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Python 3.12 + FastAPI</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Fast async API, Python ecosystem for geospatial and AI libraries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bCs/>
                <w:color w:val="1A1A1A"/>
                <w:sz w:val="20"/>
                <w:szCs w:val="20"/>
              </w:rPr>
              <w:t xml:space="preserve">Database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PostgreSQL 16 + PostGIS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Industry standard for geospatial data; spatial indexing for USRN queries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bCs/>
                <w:color w:val="1A1A1A"/>
                <w:sz w:val="20"/>
                <w:szCs w:val="20"/>
              </w:rPr>
              <w:t xml:space="preserve">Frontend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Next.js 14 + Tailwind CSS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Fast SSR, SEO-friendly for public-facing tool, Tailwind for rapid UI</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bCs/>
                <w:color w:val="1A1A1A"/>
                <w:sz w:val="20"/>
                <w:szCs w:val="20"/>
              </w:rPr>
              <w:t xml:space="preserve">Map</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Mapbox GL JS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Best-in-class vector map rendering; free tier sufficient for MVP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bCs/>
                <w:color w:val="1A1A1A"/>
                <w:sz w:val="20"/>
                <w:szCs w:val="20"/>
              </w:rPr>
              <w:t xml:space="preserve">AI Orchestration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LangChain Python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Mature agent framework; tool calling for Street Manager queries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bCs/>
                <w:color w:val="1A1A1A"/>
                <w:sz w:val="20"/>
                <w:szCs w:val="20"/>
              </w:rPr>
              <w:t xml:space="preserve">LLM</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Anthropic Claude Sonnet 4</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Best structured extraction and grounded responses; tool use support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bCs/>
                <w:color w:val="1A1A1A"/>
                <w:sz w:val="20"/>
                <w:szCs w:val="20"/>
              </w:rPr>
              <w:t xml:space="preserve">Cache / Queue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Redis (Upstash)</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Session state, rate limiting, background job queue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bCs/>
                <w:color w:val="1A1A1A"/>
                <w:sz w:val="20"/>
                <w:szCs w:val="20"/>
              </w:rPr>
              <w:t xml:space="preserve">Background Jobs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Celery + Redis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15-minute data refresh, compliance scoring, report generation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bCs/>
                <w:color w:val="1A1A1A"/>
                <w:sz w:val="20"/>
                <w:szCs w:val="20"/>
              </w:rPr>
              <w:t xml:space="preserve">Hosting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Railway or Fly.io</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Zero-ops deployment; free tier for MVP; scales on demand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bCs/>
                <w:color w:val="1A1A1A"/>
                <w:sz w:val="20"/>
                <w:szCs w:val="20"/>
              </w:rPr>
              <w:t xml:space="preserve">Auth</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Clerk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Drop-in OAuth; Google and email sign-in; authority account management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bCs/>
                <w:color w:val="1A1A1A"/>
                <w:sz w:val="20"/>
                <w:szCs w:val="20"/>
              </w:rPr>
              <w:t xml:space="preserve">Email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Resend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Developer-friendly email API; free 3,000 emails/month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bCs/>
                <w:color w:val="1A1A1A"/>
                <w:sz w:val="20"/>
                <w:szCs w:val="20"/>
              </w:rPr>
              <w:t xml:space="preserve">Monitoring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Sentry + UptimeRobot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Error tracking and uptime alerting; both have generous free tiers</w:t>
            </w:r>
          </w:p>
        </w:tc>
      </w:tr>
    </w:tbl>
    <w:p>
      <w:r>
        <w:br w:type="page"/>
      </w:r>
    </w:p>
    <w:p>
      <w:pPr>
        <w:pStyle w:val="Heading1"/>
        <w:pBdr>
          <w:bottom w:val="single" w:color="0F6E56" w:sz="6" w:space="4"/>
        </w:pBdr>
        <w:spacing w:after="160" w:before="360"/>
      </w:pPr>
      <w:r>
        <w:rPr>
          <w:rFonts w:ascii="Arial" w:cs="Arial" w:eastAsia="Arial" w:hAnsi="Arial"/>
          <w:b/>
          <w:bCs/>
          <w:color w:val="1B3A5C"/>
          <w:sz w:val="36"/>
          <w:szCs w:val="36"/>
        </w:rPr>
        <w:t xml:space="preserve">7. Strategic Positioning &amp; Causeway Engagement Plan</w:t>
      </w:r>
    </w:p>
    <w:p>
      <w:pPr>
        <w:pStyle w:val="Heading2"/>
        <w:spacing w:after="120" w:before="280"/>
      </w:pPr>
      <w:r>
        <w:rPr>
          <w:rFonts w:ascii="Arial" w:cs="Arial" w:eastAsia="Arial" w:hAnsi="Arial"/>
          <w:b/>
          <w:bCs/>
          <w:color w:val="0F6E56"/>
          <w:sz w:val="28"/>
          <w:szCs w:val="28"/>
        </w:rPr>
        <w:t xml:space="preserve">7.1 Why Causeway Is the Target</w:t>
      </w:r>
    </w:p>
    <w:p>
      <w:pPr>
        <w:pStyle w:val="ListParagraph"/>
        <w:numPr>
          <w:ilvl w:val="0"/>
          <w:numId w:val="2"/>
        </w:numPr>
        <w:spacing w:after="40" w:before="40"/>
      </w:pPr>
      <w:r>
        <w:rPr>
          <w:rFonts w:ascii="Arial" w:cs="Arial" w:eastAsia="Arial" w:hAnsi="Arial"/>
          <w:b w:val="false"/>
          <w:bCs w:val="false"/>
          <w:color w:val="1A1A1A"/>
          <w:sz w:val="22"/>
          <w:szCs w:val="22"/>
        </w:rPr>
        <w:t xml:space="preserve">Causeway operates CausewayOne Network (one.network) — the platform used by over 80% of UK highway authorities for streetworks coordination</w:t>
      </w:r>
    </w:p>
    <w:p>
      <w:pPr>
        <w:pStyle w:val="ListParagraph"/>
        <w:numPr>
          <w:ilvl w:val="0"/>
          <w:numId w:val="2"/>
        </w:numPr>
        <w:spacing w:after="40" w:before="40"/>
      </w:pPr>
      <w:r>
        <w:rPr>
          <w:rFonts w:ascii="Arial" w:cs="Arial" w:eastAsia="Arial" w:hAnsi="Arial"/>
          <w:b w:val="false"/>
          <w:bCs w:val="false"/>
          <w:color w:val="1A1A1A"/>
          <w:sz w:val="22"/>
          <w:szCs w:val="22"/>
        </w:rPr>
        <w:t xml:space="preserve">Causeway has no native AI copilot, no cross-authority analytics, no NUAR integration, and no D-TRO intelligence layer as of May 2026</w:t>
      </w:r>
    </w:p>
    <w:p>
      <w:pPr>
        <w:pStyle w:val="ListParagraph"/>
        <w:numPr>
          <w:ilvl w:val="0"/>
          <w:numId w:val="2"/>
        </w:numPr>
        <w:spacing w:after="40" w:before="40"/>
      </w:pPr>
      <w:r>
        <w:rPr>
          <w:rFonts w:ascii="Arial" w:cs="Arial" w:eastAsia="Arial" w:hAnsi="Arial"/>
          <w:b w:val="false"/>
          <w:bCs w:val="false"/>
          <w:color w:val="1A1A1A"/>
          <w:sz w:val="22"/>
          <w:szCs w:val="22"/>
        </w:rPr>
        <w:t xml:space="preserve">CEO Paul Devlin's stated mission is "turning fragmented data into connected outcomes" — StreetSense AI is the demonstrator of that thesis</w:t>
      </w:r>
    </w:p>
    <w:p>
      <w:pPr>
        <w:pStyle w:val="ListParagraph"/>
        <w:numPr>
          <w:ilvl w:val="0"/>
          <w:numId w:val="2"/>
        </w:numPr>
        <w:spacing w:after="40" w:before="40"/>
      </w:pPr>
      <w:r>
        <w:rPr>
          <w:rFonts w:ascii="Arial" w:cs="Arial" w:eastAsia="Arial" w:hAnsi="Arial"/>
          <w:b w:val="false"/>
          <w:bCs w:val="false"/>
          <w:color w:val="1A1A1A"/>
          <w:sz w:val="22"/>
          <w:szCs w:val="22"/>
        </w:rPr>
        <w:t xml:space="preserve">The Street Manager roadmap confirms that coordination is permanently out of scope and key features are 16+ months away — StreetSense AI fills that gap today</w:t>
      </w:r>
    </w:p>
    <w:p>
      <w:pPr>
        <w:spacing w:after="0" w:before="0"/>
      </w:pPr>
      <w:r>
        <w:t xml:space="preserve"/>
      </w:r>
    </w:p>
    <w:p>
      <w:pPr>
        <w:pStyle w:val="Heading2"/>
        <w:spacing w:after="120" w:before="280"/>
      </w:pPr>
      <w:r>
        <w:rPr>
          <w:rFonts w:ascii="Arial" w:cs="Arial" w:eastAsia="Arial" w:hAnsi="Arial"/>
          <w:b/>
          <w:bCs/>
          <w:color w:val="0F6E56"/>
          <w:sz w:val="28"/>
          <w:szCs w:val="28"/>
        </w:rPr>
        <w:t xml:space="preserve">7.2 Engagement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800"/>
        <w:gridCol w:w="2760"/>
      </w:tblGrid>
      <w:tr>
        <w:trPr>
          <w:tblHeader/>
        </w:trPr>
        <w:tc>
          <w:tcPr>
            <w:tcW w:type="dxa" w:w="14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Phase</w:t>
            </w:r>
          </w:p>
        </w:tc>
        <w:tc>
          <w:tcPr>
            <w:tcW w:type="dxa" w:w="24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Action</w:t>
            </w:r>
          </w:p>
        </w:tc>
        <w:tc>
          <w:tcPr>
            <w:tcW w:type="dxa" w:w="28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Target Contact</w:t>
            </w:r>
          </w:p>
        </w:tc>
        <w:tc>
          <w:tcPr>
            <w:tcW w:type="dxa" w:w="276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Success Signal</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Phase 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Publish corridor risk insight post on LinkedIn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Highways / ADEPT community</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500+ impressions; 5+ comments from highways professionals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Phase 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Tag Kris Westerby (Northumberland) in copilot demo post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Nick Smee, SVP Infrastructure, Causeway</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Reply or DM from Causeway team member</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Phase 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Submit HAUC Convention 2027 abstract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HAUC UK / DfT community</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Abstract accepted; invitation to present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Phase 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Direct outreach to Charlie Pickering (CTO)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Charlie Pickering, CTO; Paul Devlin, CEO</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Formal meeting or call initiated</w:t>
            </w:r>
          </w:p>
        </w:tc>
      </w:tr>
    </w:tbl>
    <w:p>
      <w:pPr>
        <w:spacing w:after="0" w:before="0"/>
      </w:pPr>
      <w:r>
        <w:t xml:space="preserve"/>
      </w:r>
    </w:p>
    <w:p>
      <w:pPr>
        <w:pStyle w:val="Heading2"/>
        <w:spacing w:after="120" w:before="280"/>
      </w:pPr>
      <w:r>
        <w:rPr>
          <w:rFonts w:ascii="Arial" w:cs="Arial" w:eastAsia="Arial" w:hAnsi="Arial"/>
          <w:b/>
          <w:bCs/>
          <w:color w:val="0F6E56"/>
          <w:sz w:val="28"/>
          <w:szCs w:val="28"/>
        </w:rPr>
        <w:t xml:space="preserve">7.3 Outcome Options</w:t>
      </w:r>
    </w:p>
    <w:p>
      <w:pPr>
        <w:pStyle w:val="ListParagraph"/>
        <w:numPr>
          <w:ilvl w:val="0"/>
          <w:numId w:val="2"/>
        </w:numPr>
        <w:spacing w:after="40" w:before="40"/>
      </w:pPr>
      <w:r>
        <w:rPr>
          <w:rFonts w:ascii="Arial" w:cs="Arial" w:eastAsia="Arial" w:hAnsi="Arial"/>
          <w:b w:val="false"/>
          <w:bCs w:val="false"/>
          <w:color w:val="1A1A1A"/>
          <w:sz w:val="22"/>
          <w:szCs w:val="22"/>
        </w:rPr>
        <w:t xml:space="preserve">Option A — Acquisition: Causeway acquires StreetSense AI as the AI intelligence module for CausewayOne</w:t>
      </w:r>
    </w:p>
    <w:p>
      <w:pPr>
        <w:pStyle w:val="ListParagraph"/>
        <w:numPr>
          <w:ilvl w:val="0"/>
          <w:numId w:val="2"/>
        </w:numPr>
        <w:spacing w:after="40" w:before="40"/>
      </w:pPr>
      <w:r>
        <w:rPr>
          <w:rFonts w:ascii="Arial" w:cs="Arial" w:eastAsia="Arial" w:hAnsi="Arial"/>
          <w:b w:val="false"/>
          <w:bCs w:val="false"/>
          <w:color w:val="1A1A1A"/>
          <w:sz w:val="22"/>
          <w:szCs w:val="22"/>
        </w:rPr>
        <w:t xml:space="preserve">Option B — White-label licence: Causeway licences StreetSense AI and embeds it within CausewayOne under their brand</w:t>
      </w:r>
    </w:p>
    <w:p>
      <w:pPr>
        <w:pStyle w:val="ListParagraph"/>
        <w:numPr>
          <w:ilvl w:val="0"/>
          <w:numId w:val="2"/>
        </w:numPr>
        <w:spacing w:after="40" w:before="40"/>
      </w:pPr>
      <w:r>
        <w:rPr>
          <w:rFonts w:ascii="Arial" w:cs="Arial" w:eastAsia="Arial" w:hAnsi="Arial"/>
          <w:b w:val="false"/>
          <w:bCs w:val="false"/>
          <w:color w:val="1A1A1A"/>
          <w:sz w:val="22"/>
          <w:szCs w:val="22"/>
        </w:rPr>
        <w:t xml:space="preserve">Option C — Partnership: Causeway becomes the first commercial customer; StreetSense AI continues independently</w:t>
      </w:r>
    </w:p>
    <w:p>
      <w:pPr>
        <w:pStyle w:val="ListParagraph"/>
        <w:numPr>
          <w:ilvl w:val="0"/>
          <w:numId w:val="2"/>
        </w:numPr>
        <w:spacing w:after="40" w:before="40"/>
      </w:pPr>
      <w:r>
        <w:rPr>
          <w:rFonts w:ascii="Arial" w:cs="Arial" w:eastAsia="Arial" w:hAnsi="Arial"/>
          <w:b w:val="false"/>
          <w:bCs w:val="false"/>
          <w:color w:val="1A1A1A"/>
          <w:sz w:val="22"/>
          <w:szCs w:val="22"/>
        </w:rPr>
        <w:t xml:space="preserve">Option D — Employment: Causeway hires the founder as AI Architect / Head of AI Product to build this capability internally</w:t>
      </w:r>
    </w:p>
    <w:p>
      <w:pPr>
        <w:spacing w:after="80" w:before="80"/>
        <w:jc w:val="left"/>
      </w:pPr>
      <w:r>
        <w:rPr>
          <w:rFonts w:ascii="Arial" w:cs="Arial" w:eastAsia="Arial" w:hAnsi="Arial"/>
          <w:b w:val="false"/>
          <w:bCs w:val="false"/>
          <w:i w:val="false"/>
          <w:iCs w:val="false"/>
          <w:color w:val="1A1A1A"/>
          <w:sz w:val="22"/>
          <w:szCs w:val="22"/>
        </w:rPr>
        <w:t xml:space="preserve">All four outcomes are positive. The product, built in public on open data, creates the credibility that makes all four possible.</w:t>
      </w:r>
    </w:p>
    <w:p>
      <w:r>
        <w:br w:type="page"/>
      </w:r>
    </w:p>
    <w:p>
      <w:pPr>
        <w:pStyle w:val="Heading1"/>
        <w:pBdr>
          <w:bottom w:val="single" w:color="0F6E56" w:sz="6" w:space="4"/>
        </w:pBdr>
        <w:spacing w:after="160" w:before="360"/>
      </w:pPr>
      <w:r>
        <w:rPr>
          <w:rFonts w:ascii="Arial" w:cs="Arial" w:eastAsia="Arial" w:hAnsi="Arial"/>
          <w:b/>
          <w:bCs/>
          <w:color w:val="1B3A5C"/>
          <w:sz w:val="36"/>
          <w:szCs w:val="36"/>
        </w:rPr>
        <w:t xml:space="preserve">8.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4560"/>
      </w:tblGrid>
      <w:tr>
        <w:trPr>
          <w:tblHeader/>
        </w:trPr>
        <w:tc>
          <w:tcPr>
            <w:tcW w:type="dxa" w:w="2400"/>
            <w:tcBorders>
              <w:top w:val="single" w:color="A32D2D" w:sz="1"/>
              <w:left w:val="single" w:color="A32D2D" w:sz="1"/>
              <w:bottom w:val="single" w:color="A32D2D" w:sz="1"/>
              <w:right w:val="single" w:color="A32D2D" w:sz="1"/>
            </w:tcBorders>
            <w:shd w:fill="A32D2D"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Risk</w:t>
            </w:r>
          </w:p>
        </w:tc>
        <w:tc>
          <w:tcPr>
            <w:tcW w:type="dxa" w:w="1200"/>
            <w:tcBorders>
              <w:top w:val="single" w:color="A32D2D" w:sz="1"/>
              <w:left w:val="single" w:color="A32D2D" w:sz="1"/>
              <w:bottom w:val="single" w:color="A32D2D" w:sz="1"/>
              <w:right w:val="single" w:color="A32D2D" w:sz="1"/>
            </w:tcBorders>
            <w:shd w:fill="A32D2D"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Likelihood</w:t>
            </w:r>
          </w:p>
        </w:tc>
        <w:tc>
          <w:tcPr>
            <w:tcW w:type="dxa" w:w="1200"/>
            <w:tcBorders>
              <w:top w:val="single" w:color="A32D2D" w:sz="1"/>
              <w:left w:val="single" w:color="A32D2D" w:sz="1"/>
              <w:bottom w:val="single" w:color="A32D2D" w:sz="1"/>
              <w:right w:val="single" w:color="A32D2D" w:sz="1"/>
            </w:tcBorders>
            <w:shd w:fill="A32D2D"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Impact</w:t>
            </w:r>
          </w:p>
        </w:tc>
        <w:tc>
          <w:tcPr>
            <w:tcW w:type="dxa" w:w="4560"/>
            <w:tcBorders>
              <w:top w:val="single" w:color="A32D2D" w:sz="1"/>
              <w:left w:val="single" w:color="A32D2D" w:sz="1"/>
              <w:bottom w:val="single" w:color="A32D2D" w:sz="1"/>
              <w:right w:val="single" w:color="A32D2D" w:sz="1"/>
            </w:tcBorders>
            <w:shd w:fill="A32D2D"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Mitigation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Street Manager API rate limits exceeded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High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Implement exponential backoff; cache aggressively; batch queries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NUAR API access delayed or restricted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Medium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Apply early; Phase 4 can launch with Phase 2+3 only; NUAR is Phase 4+</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Causeway builds equivalent natively before Phase 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High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No evidence of internal AI team; roadmap shows 16-month gap; build fast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D-TRO public beta API breaks or is deprecated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Medium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Phase 6 dependency only; product is valuable without D-TRO layer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AI hallucinations erode authority user trust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High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All AI answers cite permit reference numbers; audit log mandatory from day 1</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Low organic discovery / no traction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Medium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1A1A1A"/>
                <w:sz w:val="20"/>
                <w:szCs w:val="20"/>
              </w:rPr>
              <w:t xml:space="preserve">LinkedIn build-in-public strategy; ADEPT and HAUC community engagement</w:t>
            </w:r>
          </w:p>
        </w:tc>
      </w:tr>
    </w:tbl>
    <w:p>
      <w:pPr>
        <w:spacing w:after="0" w:before="0"/>
      </w:pPr>
      <w:r>
        <w:t xml:space="preserve"/>
      </w:r>
    </w:p>
    <w:p>
      <w:pPr>
        <w:spacing w:after="0" w:before="0"/>
      </w:pPr>
      <w:r>
        <w:t xml:space="preserve"/>
      </w:r>
    </w:p>
    <w:p>
      <w:pPr>
        <w:spacing w:after="80" w:before="80"/>
        <w:jc w:val="left"/>
      </w:pPr>
      <w:r>
        <w:rPr>
          <w:rFonts w:ascii="Arial" w:cs="Arial" w:eastAsia="Arial" w:hAnsi="Arial"/>
          <w:b w:val="false"/>
          <w:bCs w:val="false"/>
          <w:i/>
          <w:iCs/>
          <w:color w:val="5F5E5A"/>
          <w:sz w:val="22"/>
          <w:szCs w:val="22"/>
        </w:rPr>
        <w:t xml:space="preserve">Document prepared by: Independent AI Engineer</w:t>
      </w:r>
    </w:p>
    <w:p>
      <w:pPr>
        <w:spacing w:after="80" w:before="80"/>
        <w:jc w:val="left"/>
      </w:pPr>
      <w:r>
        <w:rPr>
          <w:rFonts w:ascii="Arial" w:cs="Arial" w:eastAsia="Arial" w:hAnsi="Arial"/>
          <w:b w:val="false"/>
          <w:bCs w:val="false"/>
          <w:i/>
          <w:iCs/>
          <w:color w:val="5F5E5A"/>
          <w:sz w:val="22"/>
          <w:szCs w:val="22"/>
        </w:rPr>
        <w:t xml:space="preserve">Contact approach: Build in public on LinkedIn; demo available at [URL to be confirmed]</w:t>
      </w:r>
    </w:p>
    <w:p>
      <w:pPr>
        <w:spacing w:after="80" w:before="80"/>
        <w:jc w:val="left"/>
      </w:pPr>
      <w:r>
        <w:rPr>
          <w:rFonts w:ascii="Arial" w:cs="Arial" w:eastAsia="Arial" w:hAnsi="Arial"/>
          <w:b w:val="false"/>
          <w:bCs w:val="false"/>
          <w:i/>
          <w:iCs/>
          <w:color w:val="5F5E5A"/>
          <w:sz w:val="22"/>
          <w:szCs w:val="22"/>
        </w:rPr>
        <w:t xml:space="preserve">Document version: 1.0  |  Date: May 2026  |  Next review: August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F6E56" w:sz="4" w:space="4"/>
      </w:pBdr>
      <w:spacing w:after="0" w:before="120"/>
    </w:pPr>
    <w:r>
      <w:rPr>
        <w:rFonts w:ascii="Arial" w:cs="Arial" w:eastAsia="Arial" w:hAnsi="Arial"/>
        <w:color w:val="5F5E5A"/>
        <w:sz w:val="18"/>
        <w:szCs w:val="18"/>
      </w:rPr>
      <w:t xml:space="preserve">Confidential  |  </w:t>
    </w:r>
    <w:r>
      <w:rPr>
        <w:rFonts w:ascii="Arial" w:cs="Arial" w:eastAsia="Arial" w:hAnsi="Arial"/>
        <w:color w:val="5F5E5A"/>
        <w:sz w:val="18"/>
        <w:szCs w:val="18"/>
      </w:rPr>
      <w:t xml:space="preserve">Page </w:t>
    </w:r>
    <w:r>
      <w:rPr>
        <w:rFonts w:ascii="Arial" w:cs="Arial" w:eastAsia="Arial" w:hAnsi="Arial"/>
        <w:color w:val="5F5E5A"/>
        <w:sz w:val="18"/>
        <w:szCs w:val="18"/>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6E56" w:sz="4" w:space="4"/>
      </w:pBdr>
      <w:spacing w:after="120" w:before="0"/>
      <w:jc w:val="right"/>
    </w:pPr>
    <w:r>
      <w:rPr>
        <w:rFonts w:ascii="Arial" w:cs="Arial" w:eastAsia="Arial" w:hAnsi="Arial"/>
        <w:color w:val="5F5E5A"/>
        <w:sz w:val="18"/>
        <w:szCs w:val="18"/>
      </w:rPr>
      <w:t xml:space="preserve">StreetSense AI — Product Planning Document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0F6E5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B3A5C"/>
      <w:sz w:val="24"/>
      <w:szCs w:val="24"/>
    </w:rPr>
  </w:style>
  <w:style w:type="paragraph" w:styleId="Heading4">
    <w:name w:val="Heading 4"/>
    <w:basedOn w:val="Normal"/>
    <w:next w:val="Normal"/>
    <w:qFormat/>
    <w:pPr>
      <w:spacing w:after="60" w:before="160"/>
      <w:outlineLvl w:val="3"/>
    </w:pPr>
    <w:rPr>
      <w:rFonts w:ascii="Arial" w:cs="Arial" w:eastAsia="Arial" w:hAnsi="Arial"/>
      <w:b/>
      <w:bCs/>
      <w:color w:val="5F5E5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2026-05-08T11:35:57.388Z</dcterms:created>
  <dcterms:modified xsi:type="dcterms:W3CDTF">2026-05-08T11:35:57.388Z</dcterms:modified>
</cp:coreProperties>
</file>

<file path=docProps/custom.xml><?xml version="1.0" encoding="utf-8"?>
<Properties xmlns="http://schemas.openxmlformats.org/officeDocument/2006/custom-properties" xmlns:vt="http://schemas.openxmlformats.org/officeDocument/2006/docPropsVTypes"/>
</file>