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Inter" w:hAnsi="Inter"/>
          <w:b/>
          <w:color w:val="2C3E50"/>
          <w:sz w:val="40"/>
        </w:rPr>
        <w:t>Enterprise Network Routing/Switching Change</w:t>
      </w:r>
    </w:p>
    <w:p>
      <w:r>
        <w:rPr>
          <w:i/>
          <w:color w:val="7F8C8D"/>
          <w:sz w:val="22"/>
        </w:rPr>
        <w:t>SMSU IT Internal Service Specification [Restricted]</w:t>
      </w:r>
    </w:p>
    <w:p>
      <w:r>
        <w:t>_____________________________________________________</w:t>
        <w:br/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Name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Enterprise Network Routing/Switching Change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Category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Internal &gt; ITS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Associated Tags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None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Portal ID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3295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Request Forms / URL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hyperlink r:id="rId9">
              <w:r>
                <w:rPr>
                  <w:color w:val="0000FF"/>
                  <w:u w:val="single"/>
                </w:rPr>
                <w:t>Open Request Form / View Live Page</w:t>
              </w:r>
            </w:hyperlink>
          </w:p>
        </w:tc>
      </w:tr>
    </w:tbl>
    <w:p>
      <w:pPr>
        <w:spacing w:before="240"/>
      </w:pPr>
    </w:p>
    <w:p>
      <w:pPr>
        <w:pStyle w:val="Heading2"/>
      </w:pPr>
      <w:r>
        <w:rPr>
          <w:rFonts w:ascii="Inter" w:hAnsi="Inter"/>
          <w:b/>
          <w:color w:val="34495E"/>
          <w:sz w:val="28"/>
        </w:rPr>
        <w:t>Service Overview &amp; Description</w:t>
      </w:r>
    </w:p>
    <w:p>
      <w:pPr>
        <w:spacing w:line="276" w:lineRule="auto" w:after="160"/>
      </w:pPr>
      <w:r>
        <w:t>This service request is used to initiate updates to Enterprise Network Routing/Switching configurations.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 ] Document structure and headings structured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Requests/Service/3295/Enterprise-Network-Routing-Switching-Change/Requ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