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Internal Employee Job Transfer</w:t>
      </w:r>
    </w:p>
    <w:p>
      <w:r>
        <w:rPr>
          <w:i/>
          <w:color w:val="7F8C8D"/>
          <w:sz w:val="22"/>
        </w:rPr>
        <w:t>SMSU IT Internal Service Specification [Restricted]</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Internal Employee Job Transfer</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Internal &gt; TRC</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RoleChange, InternalTransfers, Onboarding, Offboarding, Permissions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3374</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This service is used to request and track internal employee job transfers when an individual moves from one department or position to another within the organization. These transitions often require coordinated changes to system access, roles, security permissions, and department‑specific resources. Submitting this request ensures that access from the previous role is properly ended and that access required for the new role is granted at the appropriate time.</w:t>
      </w:r>
    </w:p>
    <w:p>
      <w:pPr>
        <w:spacing w:line="276" w:lineRule="auto" w:after="160"/>
      </w:pPr>
      <w:r>
        <w:t>When to Use This Service</w:t>
      </w:r>
    </w:p>
    <w:p>
      <w:pPr>
        <w:spacing w:line="276" w:lineRule="auto" w:after="160"/>
      </w:pPr>
      <w:r>
        <w:t>Use this service any time an employee changes departments, job titles, or functional responsibilities, including:</w:t>
      </w:r>
    </w:p>
    <w:p>
      <w:pPr>
        <w:pStyle w:val="ListBullet"/>
        <w:spacing w:line="276" w:lineRule="auto" w:after="80"/>
      </w:pPr>
      <w:r>
        <w:t>Transfers between departments (e.g., Admissions → Finance)</w:t>
      </w:r>
    </w:p>
    <w:p>
      <w:pPr>
        <w:pStyle w:val="ListBullet"/>
        <w:spacing w:line="276" w:lineRule="auto" w:after="80"/>
      </w:pPr>
      <w:r>
        <w:t>Internal promotions or role reassignments that require new system permissions</w:t>
      </w:r>
    </w:p>
    <w:p>
      <w:pPr>
        <w:pStyle w:val="ListBullet"/>
        <w:spacing w:line="276" w:lineRule="auto" w:after="80"/>
      </w:pPr>
      <w:r>
        <w:t>Moves involving temporary overlap of old and new system access</w:t>
      </w:r>
    </w:p>
    <w:p>
      <w:pPr>
        <w:spacing w:line="276" w:lineRule="auto" w:after="160"/>
      </w:pPr>
      <w:r>
        <w:t>What Information You Will Need</w:t>
      </w:r>
    </w:p>
    <w:p>
      <w:pPr>
        <w:spacing w:line="276" w:lineRule="auto" w:after="160"/>
      </w:pPr>
      <w:r>
        <w:t>Requesters should be prepared to provide:</w:t>
      </w:r>
    </w:p>
    <w:p>
      <w:pPr>
        <w:pStyle w:val="ListBullet"/>
        <w:spacing w:line="276" w:lineRule="auto" w:after="80"/>
      </w:pPr>
      <w:r>
        <w:t>Employee and department details for both the current and new roles</w:t>
      </w:r>
    </w:p>
    <w:p>
      <w:pPr>
        <w:pStyle w:val="ListBullet"/>
        <w:spacing w:line="276" w:lineRule="auto" w:after="80"/>
      </w:pPr>
      <w:r>
        <w:t>Effective transfer dates and any overlap requirements</w:t>
      </w:r>
    </w:p>
    <w:p>
      <w:pPr>
        <w:pStyle w:val="ListBullet"/>
        <w:spacing w:line="276" w:lineRule="auto" w:after="80"/>
      </w:pPr>
      <w:r>
        <w:t>System and access needs for the new position</w:t>
      </w:r>
    </w:p>
    <w:p>
      <w:pPr>
        <w:pStyle w:val="ListBullet"/>
        <w:spacing w:line="276" w:lineRule="auto" w:after="80"/>
      </w:pPr>
      <w:r>
        <w:t>Access that should be retained temporarily from the old role</w:t>
      </w:r>
    </w:p>
    <w:p>
      <w:pPr>
        <w:pStyle w:val="ListBullet"/>
        <w:spacing w:line="276" w:lineRule="auto" w:after="80"/>
      </w:pPr>
      <w:r>
        <w:t>Supervisor and HR contact information</w:t>
      </w:r>
    </w:p>
    <w:p>
      <w:pPr>
        <w:pStyle w:val="ListBullet"/>
        <w:spacing w:line="276" w:lineRule="auto" w:after="80"/>
      </w:pPr>
      <w:r>
        <w:t>Any department‑specific transition notes</w:t>
      </w:r>
    </w:p>
    <w:p>
      <w:pPr>
        <w:spacing w:line="276" w:lineRule="auto" w:after="160"/>
      </w:pPr>
      <w:r>
        <w:t>Providing complete information will help ensure that access changes are completed on time.</w:t>
      </w:r>
    </w:p>
    <w:p>
      <w:pPr>
        <w:spacing w:line="276" w:lineRule="auto" w:after="160"/>
      </w:pPr>
      <w:r>
        <w:t>How the Process Works</w:t>
      </w:r>
    </w:p>
    <w:p>
      <w:pPr>
        <w:spacing w:line="276" w:lineRule="auto" w:after="160"/>
      </w:pPr>
      <w:r>
        <w:t>Once submitted, this request will be routed to the appropriate support teams responsible for:</w:t>
      </w:r>
    </w:p>
    <w:p>
      <w:pPr>
        <w:pStyle w:val="ListBullet"/>
        <w:spacing w:line="276" w:lineRule="auto" w:after="80"/>
      </w:pPr>
      <w:r>
        <w:t>Ending access tied to the employee’s current role</w:t>
      </w:r>
    </w:p>
    <w:p>
      <w:pPr>
        <w:pStyle w:val="ListBullet"/>
        <w:spacing w:line="276" w:lineRule="auto" w:after="80"/>
      </w:pPr>
      <w:r>
        <w:t>Provisioning new access for the employee’s upcoming position</w:t>
      </w:r>
    </w:p>
    <w:p>
      <w:pPr>
        <w:pStyle w:val="ListBullet"/>
        <w:spacing w:line="276" w:lineRule="auto" w:after="80"/>
      </w:pPr>
      <w:r>
        <w:t>Coordinating department‑specific needs (e.g., Admissions or Finance requirements)</w:t>
      </w:r>
    </w:p>
    <w:p>
      <w:pPr>
        <w:spacing w:line="276" w:lineRule="auto" w:after="160"/>
      </w:pPr>
      <w:r>
        <w:t>Expected Timelines</w:t>
      </w:r>
    </w:p>
    <w:p>
      <w:pPr>
        <w:spacing w:line="276" w:lineRule="auto" w:after="160"/>
      </w:pPr>
      <w:r>
        <w:t>Processing time may vary depending on:</w:t>
      </w:r>
    </w:p>
    <w:p>
      <w:pPr>
        <w:pStyle w:val="ListBullet"/>
        <w:spacing w:line="276" w:lineRule="auto" w:after="80"/>
      </w:pPr>
      <w:r>
        <w:t>Volume of requests</w:t>
      </w:r>
    </w:p>
    <w:p>
      <w:pPr>
        <w:pStyle w:val="ListBullet"/>
        <w:spacing w:line="276" w:lineRule="auto" w:after="80"/>
      </w:pPr>
      <w:r>
        <w:t>Complexity of system access needs</w:t>
      </w:r>
    </w:p>
    <w:p>
      <w:pPr>
        <w:pStyle w:val="ListBullet"/>
        <w:spacing w:line="276" w:lineRule="auto" w:after="80"/>
      </w:pPr>
      <w:r>
        <w:t>Requirements from the involved departments</w:t>
      </w:r>
    </w:p>
    <w:p>
      <w:pPr>
        <w:spacing w:line="276" w:lineRule="auto" w:after="160"/>
      </w:pPr>
      <w:r>
        <w:t>Requestors should submit this form at least several business days before the transfer effective date to avoid delays in system access for the employee.</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3374/Internal-Employee-Job-Transfer/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