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Application Access Request</w:t>
      </w:r>
    </w:p>
    <w:p>
      <w:r>
        <w:rPr>
          <w:i/>
          <w:color w:val="7F8C8D"/>
          <w:sz w:val="22"/>
        </w:rPr>
        <w:t>SMSU IT Service Catalog Specification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Application Access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Accounts and 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Application, application-access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3067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The Application Access Request service helps users request secure access to approved applications, including SQL, xProtect, Titanium, and other supported systems.</w:t>
      </w:r>
    </w:p>
    <w:p>
      <w:pPr>
        <w:spacing w:line="276" w:lineRule="auto" w:after="160"/>
      </w:pPr>
      <w:r>
        <w:t>This service ensures that:</w:t>
      </w:r>
    </w:p>
    <w:p>
      <w:pPr>
        <w:pStyle w:val="ListBullet"/>
        <w:spacing w:line="276" w:lineRule="auto" w:after="80"/>
      </w:pPr>
      <w:r>
        <w:t>Access is granted only with proper authorization</w:t>
      </w:r>
    </w:p>
    <w:p>
      <w:pPr>
        <w:pStyle w:val="ListBullet"/>
        <w:spacing w:line="276" w:lineRule="auto" w:after="80"/>
      </w:pPr>
      <w:r>
        <w:t>Requests follow established security and compliance requirements</w:t>
      </w:r>
    </w:p>
    <w:p>
      <w:pPr>
        <w:pStyle w:val="ListBullet"/>
        <w:spacing w:line="276" w:lineRule="auto" w:after="80"/>
      </w:pPr>
      <w:r>
        <w:t>All access changes are recorded for auditing and accountability</w:t>
      </w:r>
    </w:p>
    <w:p>
      <w:pPr>
        <w:spacing w:line="276" w:lineRule="auto" w:after="160"/>
      </w:pPr>
      <w:r>
        <w:t>Using this service helps protect sensitive information while making sure users can access the tools they need to do their work.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067/Application-Access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