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Inter" w:hAnsi="Inter"/>
          <w:b/>
          <w:color w:val="2C3E50"/>
          <w:sz w:val="40"/>
        </w:rPr>
        <w:t>Data Sanitation (Disposal)</w:t>
      </w:r>
    </w:p>
    <w:p>
      <w:r>
        <w:rPr>
          <w:i/>
          <w:color w:val="7F8C8D"/>
          <w:sz w:val="22"/>
        </w:rPr>
        <w:t>SMSU IT Internal Service Specification [Restricted]</w:t>
      </w:r>
    </w:p>
    <w:p>
      <w:r>
        <w:t>_____________________________________________________</w:t>
        <w:br/>
      </w:r>
    </w:p>
    <w:tbl>
      <w:tblPr>
        <w:tblStyle w:val="LightShading-Accent1"/>
        <w:tblW w:type="auto" w:w="0"/>
        <w:tblLook w:firstColumn="1" w:firstRow="1" w:lastColumn="0" w:lastRow="0" w:noHBand="0" w:noVBand="1" w:val="04A0"/>
      </w:tblPr>
      <w:tblGrid>
        <w:gridCol w:w="4320"/>
        <w:gridCol w:w="4320"/>
      </w:tblGrid>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Service Name</w:t>
            </w:r>
          </w:p>
        </w:tc>
        <w:tc>
          <w:tcPr>
            <w:tcW w:type="dxa" w:w="4320"/>
            <w:tcMar>
              <w:top w:w="100" w:type="dxa"/>
              <w:bottom w:w="100" w:type="dxa"/>
              <w:left w:w="150" w:type="dxa"/>
              <w:right w:w="150" w:type="dxa"/>
            </w:tcMar>
          </w:tcPr>
          <w:p>
            <w:pPr>
              <w:spacing w:before="80" w:after="80"/>
            </w:pPr>
            <w:r>
              <w:rPr>
                <w:rFonts w:ascii="Calibri" w:hAnsi="Calibri"/>
                <w:b w:val="0"/>
                <w:sz w:val="20"/>
              </w:rPr>
              <w:t>Data Sanitation (Disposal)</w:t>
            </w:r>
          </w:p>
        </w:tc>
      </w:tr>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Service Category</w:t>
            </w:r>
          </w:p>
        </w:tc>
        <w:tc>
          <w:tcPr>
            <w:tcW w:type="dxa" w:w="4320"/>
            <w:tcMar>
              <w:top w:w="100" w:type="dxa"/>
              <w:bottom w:w="100" w:type="dxa"/>
              <w:left w:w="150" w:type="dxa"/>
              <w:right w:w="150" w:type="dxa"/>
            </w:tcMar>
          </w:tcPr>
          <w:p>
            <w:pPr>
              <w:spacing w:before="80" w:after="80"/>
            </w:pPr>
            <w:r>
              <w:rPr>
                <w:rFonts w:ascii="Calibri" w:hAnsi="Calibri"/>
                <w:b w:val="0"/>
                <w:sz w:val="20"/>
              </w:rPr>
              <w:t>Internal &gt; TRC</w:t>
            </w:r>
          </w:p>
        </w:tc>
      </w:tr>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Associated Tags</w:t>
            </w:r>
          </w:p>
        </w:tc>
        <w:tc>
          <w:tcPr>
            <w:tcW w:type="dxa" w:w="4320"/>
            <w:tcMar>
              <w:top w:w="100" w:type="dxa"/>
              <w:bottom w:w="100" w:type="dxa"/>
              <w:left w:w="150" w:type="dxa"/>
              <w:right w:w="150" w:type="dxa"/>
            </w:tcMar>
          </w:tcPr>
          <w:p>
            <w:pPr>
              <w:spacing w:before="80" w:after="80"/>
            </w:pPr>
            <w:r>
              <w:rPr>
                <w:rFonts w:ascii="Calibri" w:hAnsi="Calibri"/>
                <w:b w:val="0"/>
                <w:sz w:val="20"/>
              </w:rPr>
              <w:t>devices, data, sanitation, technology</w:t>
            </w:r>
          </w:p>
        </w:tc>
      </w:tr>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Service Portal ID</w:t>
            </w:r>
          </w:p>
        </w:tc>
        <w:tc>
          <w:tcPr>
            <w:tcW w:type="dxa" w:w="4320"/>
            <w:tcMar>
              <w:top w:w="100" w:type="dxa"/>
              <w:bottom w:w="100" w:type="dxa"/>
              <w:left w:w="150" w:type="dxa"/>
              <w:right w:w="150" w:type="dxa"/>
            </w:tcMar>
          </w:tcPr>
          <w:p>
            <w:pPr>
              <w:spacing w:before="80" w:after="80"/>
            </w:pPr>
            <w:r>
              <w:rPr>
                <w:rFonts w:ascii="Calibri" w:hAnsi="Calibri"/>
                <w:b w:val="0"/>
                <w:sz w:val="20"/>
              </w:rPr>
              <w:t>2207</w:t>
            </w:r>
          </w:p>
        </w:tc>
      </w:tr>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Request Forms / URL</w:t>
            </w:r>
          </w:p>
        </w:tc>
        <w:tc>
          <w:tcPr>
            <w:tcW w:type="dxa" w:w="4320"/>
            <w:tcMar>
              <w:top w:w="100" w:type="dxa"/>
              <w:bottom w:w="100" w:type="dxa"/>
              <w:left w:w="150" w:type="dxa"/>
              <w:right w:w="150" w:type="dxa"/>
            </w:tcMar>
          </w:tcPr>
          <w:p>
            <w:pPr>
              <w:spacing w:before="80" w:after="80"/>
            </w:pPr>
            <w:hyperlink r:id="rId9">
              <w:r>
                <w:rPr>
                  <w:color w:val="0000FF"/>
                  <w:u w:val="single"/>
                </w:rPr>
                <w:t>Open Request Form / View Live Page</w:t>
              </w:r>
            </w:hyperlink>
          </w:p>
        </w:tc>
      </w:tr>
    </w:tbl>
    <w:p>
      <w:pPr>
        <w:spacing w:before="240"/>
      </w:pPr>
    </w:p>
    <w:p>
      <w:pPr>
        <w:pStyle w:val="Heading2"/>
      </w:pPr>
      <w:r>
        <w:rPr>
          <w:rFonts w:ascii="Inter" w:hAnsi="Inter"/>
          <w:b/>
          <w:color w:val="34495E"/>
          <w:sz w:val="28"/>
        </w:rPr>
        <w:t>Service Overview &amp; Description</w:t>
      </w:r>
    </w:p>
    <w:p>
      <w:pPr>
        <w:spacing w:line="276" w:lineRule="auto" w:after="160"/>
      </w:pPr>
      <w:r>
        <w:t>This service provides a standardized form for recording the sanitization procedures of various technology devices, including hard disk drives, solid state drives, tape drives, USB drives, CD/DVD discs, SD cards, and other devices with internal storage capabilities (e.g., cameras, phones, copiers, MFDs). The form captures essential details such as device type, unique property ID, date and time of sanitization, sanitization method, tool/software used, and personnel information. This ensures compliance with Minnesota State guidelines and maintains a clear audit trail for all data sanitization activities.</w:t>
      </w:r>
    </w:p>
    <w:p>
      <w:r>
        <w:br/>
        <w:br/>
        <w:t>Accessibility Review &amp; Update Log:</w:t>
      </w:r>
    </w:p>
    <w:p>
      <w:r>
        <w:t>- [ ] Content accuracy verified</w:t>
        <w:br/>
        <w:t>- [ ] Color contrast checked</w:t>
        <w:br/>
        <w:t>- [x] Image alt-text verified (screenshots auto-captioned)</w:t>
        <w:br/>
        <w:t>- [ ] Document structure and headings structured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ervices.smsu.edu/TDClient/180/Portal/Requests/Service/2207/Data-Sanitation-Disposal/Reque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