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Security incident - Managed device - Blocking device access</w:t>
      </w:r>
    </w:p>
    <w:p>
      <w:pPr>
        <w:spacing w:before="160" w:after="360"/>
      </w:pPr>
      <w:r>
        <w:rPr>
          <w:b/>
          <w:sz w:val="20"/>
        </w:rPr>
        <w:t xml:space="preserve">Official URL: </w:t>
      </w:r>
      <w:hyperlink r:id="rId9">
        <w:r>
          <w:rPr>
            <w:color w:val="0000FF"/>
            <w:u w:val="single"/>
          </w:rPr>
          <w:t>https://services.smsu.edu/TDClient/180/Portal/KB/Article/8024/Security-incident-Managed-device-Blocking-device-access</w:t>
        </w:r>
      </w:hyperlink>
      <w:r>
        <w:br/>
      </w:r>
      <w:r>
        <w:rPr>
          <w:b/>
          <w:sz w:val="20"/>
        </w:rPr>
        <w:t xml:space="preserve">Category: </w:t>
      </w:r>
      <w:r>
        <w:t>Knowledge Base &gt; Information Technology Services &gt; Internal &gt; ITS Procedures Library &gt; Security incident - Managed device - Blocking device access</w:t>
      </w:r>
      <w:r>
        <w:br/>
      </w:r>
      <w:r>
        <w:rPr>
          <w:b/>
          <w:sz w:val="20"/>
        </w:rPr>
        <w:t xml:space="preserve">Tags: </w:t>
      </w:r>
      <w:r>
        <w:t>None</w:t>
      </w:r>
    </w:p>
    <w:p>
      <w:r>
        <w:t>_____________________________________________________</w:t>
        <w:br/>
      </w:r>
    </w:p>
    <w:p>
      <w:pPr>
        <w:spacing w:line="276" w:lineRule="auto" w:after="160"/>
      </w:pPr>
      <w:r>
        <w:rPr>
          <w:rFonts w:ascii="Calibri" w:hAnsi="Calibri"/>
          <w:b/>
          <w:i w:val="0"/>
          <w:sz w:val="22"/>
        </w:rPr>
        <w:t>Purpose</w:t>
      </w:r>
    </w:p>
    <w:p>
      <w:pPr>
        <w:spacing w:line="276" w:lineRule="auto" w:after="160"/>
      </w:pPr>
      <w:r>
        <w:rPr>
          <w:rFonts w:ascii="Calibri" w:hAnsi="Calibri"/>
          <w:b w:val="0"/>
          <w:i w:val="0"/>
          <w:sz w:val="22"/>
        </w:rPr>
        <w:t>The managed device blocking device access procedure describes the circumstances in which a managed device would be blocked from accessing the SMSU network.</w:t>
      </w:r>
    </w:p>
    <w:p>
      <w:pPr>
        <w:spacing w:line="276" w:lineRule="auto" w:after="160"/>
      </w:pPr>
      <w:r>
        <w:rPr>
          <w:rFonts w:ascii="Calibri" w:hAnsi="Calibri"/>
          <w:b/>
          <w:i w:val="0"/>
          <w:sz w:val="22"/>
        </w:rPr>
        <w:t>IT security incident discovery</w:t>
      </w:r>
    </w:p>
    <w:p>
      <w:pPr>
        <w:spacing w:line="276" w:lineRule="auto" w:after="160"/>
      </w:pPr>
      <w:r>
        <w:rPr>
          <w:rFonts w:ascii="Calibri" w:hAnsi="Calibri"/>
          <w:b w:val="0"/>
          <w:i w:val="0"/>
          <w:sz w:val="22"/>
        </w:rPr>
        <w:t>SMSU IT personnel receive notifications from various security solutions in the occurrence of an IT security incident. Managed devices used by students, faculty, or staff can be part of these notifications.  Notifications are generally communicated via email.  The email identifies the type of event, IP address of the device, time of incident, and supporting data related to the incident.  SMSU ITS personnel use Cisco ISE or MIST to match the device to the user of the device.</w:t>
      </w:r>
    </w:p>
    <w:p>
      <w:pPr>
        <w:spacing w:line="276" w:lineRule="auto" w:after="160"/>
      </w:pPr>
      <w:r>
        <w:rPr>
          <w:rFonts w:ascii="Calibri" w:hAnsi="Calibri"/>
          <w:b/>
          <w:i w:val="0"/>
          <w:sz w:val="22"/>
        </w:rPr>
        <w:t xml:space="preserve">NOTE: </w:t>
      </w:r>
      <w:r>
        <w:rPr>
          <w:rFonts w:ascii="Calibri" w:hAnsi="Calibri"/>
          <w:b w:val="0"/>
          <w:i w:val="0"/>
          <w:sz w:val="22"/>
        </w:rPr>
        <w:t xml:space="preserve"> If the security incident is deemed high risk by a member of the SMSU ITS Security team, the team member who is reviewing the incident will notify the SMSU ITS Security team to ensure all team members are aware of the incident and that the necessary steps are taken immediately.</w:t>
      </w:r>
    </w:p>
    <w:p>
      <w:pPr>
        <w:spacing w:line="276" w:lineRule="auto" w:after="160"/>
      </w:pPr>
      <w:r>
        <w:rPr>
          <w:rFonts w:ascii="Calibri" w:hAnsi="Calibri"/>
          <w:b/>
          <w:i w:val="0"/>
          <w:sz w:val="22"/>
        </w:rPr>
        <w:t>TDX ticket creation and assignment</w:t>
      </w:r>
    </w:p>
    <w:p>
      <w:pPr>
        <w:spacing w:line="276" w:lineRule="auto" w:after="160"/>
      </w:pPr>
      <w:r>
        <w:rPr>
          <w:rFonts w:ascii="Calibri" w:hAnsi="Calibri"/>
          <w:b w:val="0"/>
          <w:i w:val="0"/>
          <w:sz w:val="22"/>
        </w:rPr>
        <w:t>An Information security incident report service ticket is created based off the discovery information.  The ticket is templated to require the following information:</w:t>
      </w:r>
    </w:p>
    <w:p>
      <w:pPr>
        <w:pStyle w:val="ListBullet"/>
        <w:spacing w:line="276" w:lineRule="auto" w:after="80"/>
      </w:pPr>
      <w:r>
        <w:rPr>
          <w:rFonts w:ascii="Calibri" w:hAnsi="Calibri"/>
          <w:b w:val="0"/>
          <w:i w:val="0"/>
          <w:sz w:val="22"/>
        </w:rPr>
        <w:t>Title</w:t>
      </w:r>
    </w:p>
    <w:p>
      <w:pPr>
        <w:pStyle w:val="ListBullet"/>
        <w:spacing w:line="276" w:lineRule="auto" w:after="80"/>
      </w:pPr>
      <w:r>
        <w:rPr>
          <w:rFonts w:ascii="Calibri" w:hAnsi="Calibri"/>
          <w:b w:val="0"/>
          <w:i w:val="0"/>
          <w:sz w:val="22"/>
        </w:rPr>
        <w:t>Requestor - The person identified as being affected by the security incident</w:t>
      </w:r>
    </w:p>
    <w:p>
      <w:pPr>
        <w:pStyle w:val="ListBullet"/>
        <w:spacing w:line="276" w:lineRule="auto" w:after="80"/>
      </w:pPr>
      <w:r>
        <w:rPr>
          <w:rFonts w:ascii="Calibri" w:hAnsi="Calibri"/>
          <w:b w:val="0"/>
          <w:i w:val="0"/>
          <w:sz w:val="22"/>
        </w:rPr>
        <w:t>Department</w:t>
      </w:r>
    </w:p>
    <w:p>
      <w:pPr>
        <w:pStyle w:val="ListBullet"/>
        <w:spacing w:line="276" w:lineRule="auto" w:after="80"/>
      </w:pPr>
      <w:r>
        <w:rPr>
          <w:rFonts w:ascii="Calibri" w:hAnsi="Calibri"/>
          <w:b w:val="0"/>
          <w:i w:val="0"/>
          <w:sz w:val="22"/>
        </w:rPr>
        <w:t>Email address</w:t>
      </w:r>
    </w:p>
    <w:p>
      <w:pPr>
        <w:pStyle w:val="ListBullet"/>
        <w:spacing w:line="276" w:lineRule="auto" w:after="80"/>
      </w:pPr>
      <w:r>
        <w:rPr>
          <w:rFonts w:ascii="Calibri" w:hAnsi="Calibri"/>
          <w:b w:val="0"/>
          <w:i w:val="0"/>
          <w:sz w:val="22"/>
        </w:rPr>
        <w:t xml:space="preserve">Phone Number </w:t>
      </w:r>
    </w:p>
    <w:p>
      <w:pPr>
        <w:pStyle w:val="ListBullet"/>
        <w:spacing w:line="276" w:lineRule="auto" w:after="80"/>
      </w:pPr>
      <w:r>
        <w:rPr>
          <w:rFonts w:ascii="Calibri" w:hAnsi="Calibri"/>
          <w:b w:val="0"/>
          <w:i w:val="0"/>
          <w:sz w:val="22"/>
        </w:rPr>
        <w:t>Supervisor (if applicable)</w:t>
      </w:r>
    </w:p>
    <w:p>
      <w:pPr>
        <w:pStyle w:val="ListBullet"/>
        <w:spacing w:line="276" w:lineRule="auto" w:after="80"/>
      </w:pPr>
      <w:r>
        <w:rPr>
          <w:rFonts w:ascii="Calibri" w:hAnsi="Calibri"/>
          <w:b w:val="0"/>
          <w:i w:val="0"/>
          <w:sz w:val="22"/>
        </w:rPr>
        <w:t>Date/Time</w:t>
      </w:r>
    </w:p>
    <w:p>
      <w:pPr>
        <w:pStyle w:val="ListBullet"/>
        <w:spacing w:line="276" w:lineRule="auto" w:after="80"/>
      </w:pPr>
      <w:r>
        <w:rPr>
          <w:rFonts w:ascii="Calibri" w:hAnsi="Calibri"/>
          <w:b w:val="0"/>
          <w:i w:val="0"/>
          <w:sz w:val="22"/>
        </w:rPr>
        <w:t>Device(s) affected</w:t>
      </w:r>
    </w:p>
    <w:p>
      <w:pPr>
        <w:pStyle w:val="ListBullet"/>
        <w:spacing w:line="276" w:lineRule="auto" w:after="80"/>
      </w:pPr>
      <w:r>
        <w:rPr>
          <w:rFonts w:ascii="Calibri" w:hAnsi="Calibri"/>
          <w:b w:val="0"/>
          <w:i w:val="0"/>
          <w:sz w:val="22"/>
        </w:rPr>
        <w:t>Location</w:t>
      </w:r>
    </w:p>
    <w:p>
      <w:pPr>
        <w:pStyle w:val="ListBullet"/>
        <w:spacing w:line="276" w:lineRule="auto" w:after="80"/>
      </w:pPr>
      <w:r>
        <w:rPr>
          <w:rFonts w:ascii="Calibri" w:hAnsi="Calibri"/>
          <w:b w:val="0"/>
          <w:i w:val="0"/>
          <w:sz w:val="22"/>
        </w:rPr>
        <w:t>Incident type (Phishing, malware, DDOS, data breach, unauthorized access, or lost/stolen device)</w:t>
      </w:r>
    </w:p>
    <w:p>
      <w:pPr>
        <w:pStyle w:val="ListBullet"/>
        <w:spacing w:line="276" w:lineRule="auto" w:after="80"/>
      </w:pPr>
      <w:r>
        <w:rPr>
          <w:rFonts w:ascii="Calibri" w:hAnsi="Calibri"/>
          <w:b w:val="0"/>
          <w:i w:val="0"/>
          <w:sz w:val="22"/>
        </w:rPr>
        <w:t>Detail of the incident</w:t>
      </w:r>
    </w:p>
    <w:p>
      <w:pPr>
        <w:spacing w:line="276" w:lineRule="auto" w:after="160"/>
      </w:pPr>
      <w:r>
        <w:rPr>
          <w:rFonts w:ascii="Calibri" w:hAnsi="Calibri"/>
          <w:b w:val="0"/>
          <w:i w:val="0"/>
          <w:sz w:val="22"/>
        </w:rPr>
        <w:t xml:space="preserve">The ticket is assigned to the Technology Resource Center (TRC), a ticket number is created, and the requestor is emailed the ticket information and link.  </w:t>
      </w:r>
    </w:p>
    <w:p>
      <w:pPr>
        <w:spacing w:line="276" w:lineRule="auto" w:after="160"/>
      </w:pPr>
      <w:r>
        <w:rPr>
          <w:rFonts w:ascii="Calibri" w:hAnsi="Calibri"/>
          <w:b w:val="0"/>
          <w:i/>
          <w:sz w:val="22"/>
        </w:rPr>
        <w:t xml:space="preserve">NOTES </w:t>
      </w:r>
    </w:p>
    <w:p>
      <w:pPr>
        <w:pStyle w:val="ListBullet"/>
        <w:spacing w:line="276" w:lineRule="auto" w:after="80"/>
      </w:pPr>
      <w:r>
        <w:rPr>
          <w:rFonts w:ascii="Calibri" w:hAnsi="Calibri"/>
          <w:b w:val="0"/>
          <w:i w:val="0"/>
          <w:sz w:val="22"/>
        </w:rPr>
        <w:t>In the event the security incident notification came from MInnState ITS TDX system, it is also recorded in the 2025 incident tracking spreadsheet (</w:t>
      </w:r>
      <w:hyperlink r:id="rId10">
        <w:r>
          <w:rPr>
            <w:color w:val="0000FF"/>
            <w:u w:val="single"/>
          </w:rPr>
          <w:t>2025 Incident tracking.xlsx</w:t>
        </w:r>
      </w:hyperlink>
      <w:r>
        <w:rPr>
          <w:rFonts w:ascii="Calibri" w:hAnsi="Calibri"/>
          <w:b w:val="0"/>
          <w:i w:val="0"/>
          <w:sz w:val="22"/>
        </w:rPr>
        <w:t>).  This is done to keep the record of the System Office TDX ticket number and description as we don't have access to see or update tickets of these kind directly in their TDX system.</w:t>
      </w:r>
    </w:p>
    <w:p>
      <w:pPr>
        <w:pStyle w:val="ListBullet"/>
        <w:spacing w:line="276" w:lineRule="auto" w:after="80"/>
      </w:pPr>
      <w:r>
        <w:rPr>
          <w:rFonts w:ascii="Calibri" w:hAnsi="Calibri"/>
          <w:b w:val="0"/>
          <w:i w:val="0"/>
          <w:sz w:val="22"/>
        </w:rPr>
        <w:t>If the incident has a high security risk associated with it, the TRC manager will be communicated to directly by a member of the SMSU IT Security team to ensure someone can respond to the issue immediately.</w:t>
      </w:r>
    </w:p>
    <w:p>
      <w:pPr>
        <w:spacing w:line="276" w:lineRule="auto" w:after="160"/>
      </w:pPr>
      <w:r>
        <w:rPr>
          <w:rFonts w:ascii="Calibri" w:hAnsi="Calibri"/>
          <w:b/>
          <w:i w:val="0"/>
          <w:sz w:val="22"/>
        </w:rPr>
        <w:t>Communication and possible device block</w:t>
      </w:r>
    </w:p>
    <w:p>
      <w:pPr>
        <w:spacing w:line="276" w:lineRule="auto" w:after="160"/>
      </w:pPr>
      <w:r>
        <w:rPr>
          <w:rFonts w:ascii="Calibri" w:hAnsi="Calibri"/>
          <w:b w:val="0"/>
          <w:i w:val="0"/>
          <w:sz w:val="22"/>
        </w:rPr>
        <w:t>The TRC will reach out to the person directly by phone to work with the affected user.  Dependent upon incident type, the TRC may be able to resolve the issue remotely.  If the user cannot be reached and the event is deemed not to be a high security risk incident:</w:t>
      </w:r>
    </w:p>
    <w:p>
      <w:pPr>
        <w:pStyle w:val="ListBullet"/>
        <w:spacing w:line="276" w:lineRule="auto" w:after="80"/>
      </w:pPr>
      <w:r>
        <w:rPr>
          <w:rFonts w:ascii="Calibri" w:hAnsi="Calibri"/>
          <w:b w:val="0"/>
          <w:i w:val="0"/>
          <w:sz w:val="22"/>
        </w:rPr>
        <w:t>The TRC will attempt to contact the user the following day to try and resolve the issue</w:t>
      </w:r>
    </w:p>
    <w:p>
      <w:pPr>
        <w:pStyle w:val="ListBullet"/>
        <w:spacing w:line="276" w:lineRule="auto" w:after="80"/>
      </w:pPr>
      <w:r>
        <w:rPr>
          <w:rFonts w:ascii="Calibri" w:hAnsi="Calibri"/>
          <w:b w:val="0"/>
          <w:i w:val="0"/>
          <w:sz w:val="22"/>
        </w:rPr>
        <w:t>If the user cannot be reached by the end of the second day, the CIO or Lead Security Systems Administrator will be asked to contact the supervisor or supervising Dean. The CIO or Lead Security Systems Administrator will inform the supervisor or supervising Dean of the situation and that the device's access to the network will be blocked at the end of the following day if the user fails to respond to the TRC to resolve the issue.</w:t>
      </w:r>
    </w:p>
    <w:p>
      <w:pPr>
        <w:pStyle w:val="ListBullet"/>
        <w:spacing w:line="276" w:lineRule="auto" w:after="80"/>
      </w:pPr>
      <w:r>
        <w:rPr>
          <w:rFonts w:ascii="Calibri" w:hAnsi="Calibri"/>
          <w:b w:val="0"/>
          <w:i w:val="0"/>
          <w:sz w:val="22"/>
        </w:rPr>
        <w:t>The SMSU ITS Security team will be notified accordingly and the network administrator will block the device from accessing the network.</w:t>
      </w:r>
    </w:p>
    <w:p>
      <w:pPr>
        <w:spacing w:line="276" w:lineRule="auto" w:after="160"/>
      </w:pPr>
      <w:r>
        <w:rPr>
          <w:rFonts w:ascii="Calibri" w:hAnsi="Calibri"/>
          <w:b w:val="0"/>
          <w:i w:val="0"/>
          <w:sz w:val="22"/>
        </w:rPr>
        <w:t>High risk scenario</w:t>
      </w:r>
      <w:r>
        <w:rPr>
          <w:rFonts w:ascii="Calibri" w:hAnsi="Calibri"/>
          <w:b w:val="0"/>
          <w:i w:val="0"/>
          <w:sz w:val="22"/>
        </w:rPr>
        <w:t xml:space="preserve"> - These scenarios can involve events where an account is compromised, a device is lost or stolen, or malware is detected.  As noted, previously if an incident is deemed to be high risk, the TRC manager will be notified and he/she will pass that information on to the TRC. </w:t>
      </w:r>
    </w:p>
    <w:p>
      <w:pPr>
        <w:pStyle w:val="ListBullet"/>
        <w:spacing w:line="276" w:lineRule="auto" w:after="80"/>
      </w:pPr>
      <w:r>
        <w:rPr>
          <w:rFonts w:ascii="Calibri" w:hAnsi="Calibri"/>
          <w:b w:val="0"/>
          <w:i w:val="0"/>
          <w:sz w:val="22"/>
        </w:rPr>
        <w:t xml:space="preserve">If the TRC is able to contact the person, the TRC will work with the person to remove the wired connection from their machine and/or disconnect from the wireless network. The device will need to be brought to the TRC for analysis to limit the risk to other devices on the network. </w:t>
      </w:r>
    </w:p>
    <w:p>
      <w:pPr>
        <w:pStyle w:val="ListBullet"/>
        <w:spacing w:line="276" w:lineRule="auto" w:after="80"/>
      </w:pPr>
      <w:r>
        <w:rPr>
          <w:rFonts w:ascii="Calibri" w:hAnsi="Calibri"/>
          <w:b w:val="0"/>
          <w:i w:val="0"/>
          <w:sz w:val="22"/>
        </w:rPr>
        <w:t>If the TRC is unable to get a hold of the person:</w:t>
        <w:br/>
        <w:tab/>
      </w:r>
      <w:r>
        <w:rPr>
          <w:rFonts w:ascii="Calibri" w:hAnsi="Calibri"/>
          <w:b w:val="0"/>
          <w:i w:val="0"/>
          <w:sz w:val="22"/>
        </w:rPr>
        <w:t>Then the CIO or Lead Security Systems Administrator ,if the CIO is unavailable, will contact their supervisor or Dean to explain the situation and see if they can assist in contacting the user and that the device would need to be blocked from the network, or otherwise disabled, and possibly physically secured, if the person continues to not be reachable.</w:t>
        <w:br/>
        <w:t xml:space="preserve">If the supervisor or Dean cannot get a hold of the person or has </w:t>
      </w:r>
      <w:r>
        <w:rPr>
          <w:rFonts w:ascii="Calibri" w:hAnsi="Calibri"/>
          <w:b/>
          <w:i w:val="0"/>
          <w:sz w:val="22"/>
        </w:rPr>
        <w:t>no</w:t>
      </w:r>
      <w:r>
        <w:rPr>
          <w:rFonts w:ascii="Calibri" w:hAnsi="Calibri"/>
          <w:b w:val="0"/>
          <w:i w:val="0"/>
          <w:sz w:val="22"/>
        </w:rPr>
        <w:t xml:space="preserve"> knowledge of their whereabouts, the the CIO or Lead Security System Administrator will work with the Dean or supervisor to secure the device as soon as possible.  </w:t>
        <w:br/>
        <w:t>The SMSU ITS Security team will be notified and the network administrator will block the device from accessing the network.</w:t>
      </w:r>
      <w:r>
        <w:rPr>
          <w:rFonts w:ascii="Calibri" w:hAnsi="Calibri"/>
          <w:b w:val="0"/>
          <w:i w:val="0"/>
          <w:sz w:val="22"/>
        </w:rPr>
        <w:br/>
        <w:tab/>
      </w:r>
    </w:p>
    <w:p>
      <w:pPr>
        <w:pStyle w:val="ListBullet"/>
        <w:spacing w:line="276" w:lineRule="auto" w:after="80"/>
      </w:pPr>
      <w:r>
        <w:rPr>
          <w:rFonts w:ascii="Calibri" w:hAnsi="Calibri"/>
          <w:b w:val="0"/>
          <w:i w:val="0"/>
          <w:sz w:val="22"/>
        </w:rPr>
        <w:t>Then the CIO or Lead Security Systems Administrator ,if the CIO is unavailable, will contact their supervisor or Dean to explain the situation and see if they can assist in contacting the user and that the device would need to be blocked from the network, or otherwise disabled, and possibly physically secured, if the person continues to not be reachable.</w:t>
      </w:r>
    </w:p>
    <w:p>
      <w:pPr>
        <w:pStyle w:val="ListBullet"/>
        <w:spacing w:line="276" w:lineRule="auto" w:after="80"/>
      </w:pPr>
      <w:r>
        <w:rPr>
          <w:rFonts w:ascii="Calibri" w:hAnsi="Calibri"/>
          <w:b w:val="0"/>
          <w:i w:val="0"/>
          <w:sz w:val="22"/>
        </w:rPr>
        <w:t xml:space="preserve">If the supervisor or Dean cannot get a hold of the person or has </w:t>
      </w:r>
      <w:r>
        <w:rPr>
          <w:rFonts w:ascii="Calibri" w:hAnsi="Calibri"/>
          <w:b/>
          <w:i w:val="0"/>
          <w:sz w:val="22"/>
        </w:rPr>
        <w:t>no</w:t>
      </w:r>
      <w:r>
        <w:rPr>
          <w:rFonts w:ascii="Calibri" w:hAnsi="Calibri"/>
          <w:b w:val="0"/>
          <w:i w:val="0"/>
          <w:sz w:val="22"/>
        </w:rPr>
        <w:t xml:space="preserve"> knowledge of their whereabouts, the the CIO or Lead Security System Administrator will work with the Dean or supervisor to secure the device as soon as possible.  </w:t>
      </w:r>
    </w:p>
    <w:p>
      <w:pPr>
        <w:pStyle w:val="ListBullet"/>
        <w:spacing w:line="276" w:lineRule="auto" w:after="80"/>
      </w:pPr>
      <w:r>
        <w:rPr>
          <w:rFonts w:ascii="Calibri" w:hAnsi="Calibri"/>
          <w:b w:val="0"/>
          <w:i w:val="0"/>
          <w:sz w:val="22"/>
        </w:rPr>
        <w:t>The SMSU ITS Security team will be notified and the network administrator will block the device from accessing the network.</w:t>
      </w:r>
    </w:p>
    <w:p>
      <w:pPr>
        <w:spacing w:line="276" w:lineRule="auto" w:after="160"/>
      </w:pPr>
      <w:r>
        <w:rPr>
          <w:rFonts w:ascii="Calibri" w:hAnsi="Calibri"/>
          <w:b/>
          <w:i w:val="0"/>
          <w:sz w:val="22"/>
        </w:rPr>
        <w:t>NOTE:</w:t>
      </w:r>
      <w:r>
        <w:rPr>
          <w:rFonts w:ascii="Calibri" w:hAnsi="Calibri"/>
          <w:b w:val="0"/>
          <w:i w:val="0"/>
          <w:sz w:val="22"/>
        </w:rPr>
        <w:t xml:space="preserve">  The expectation is that the amount of time from the ticket being created to the time where the decision is made to block the device from the network should not exceed 15 minutes to limit the possible spread to other devices.  In cases where persons or supervisors cannot be contacted, actions, including physical entry into the person’s assigned work location to secure the device or disable it may be necessary.</w:t>
      </w:r>
    </w:p>
    <w:p>
      <w:pPr>
        <w:spacing w:line="276" w:lineRule="auto" w:after="160"/>
      </w:pPr>
      <w:r>
        <w:rPr>
          <w:rFonts w:ascii="Calibri" w:hAnsi="Calibri"/>
          <w:b/>
          <w:i w:val="0"/>
          <w:sz w:val="22"/>
        </w:rPr>
        <w:t>TDX</w:t>
      </w:r>
      <w:r>
        <w:rPr>
          <w:rFonts w:ascii="Calibri" w:hAnsi="Calibri"/>
          <w:b/>
          <w:i w:val="0"/>
          <w:sz w:val="22"/>
        </w:rPr>
        <w:t xml:space="preserve"> ticket closure</w:t>
      </w:r>
    </w:p>
    <w:p>
      <w:pPr>
        <w:spacing w:line="276" w:lineRule="auto" w:after="160"/>
      </w:pPr>
      <w:r>
        <w:rPr>
          <w:rFonts w:ascii="Calibri" w:hAnsi="Calibri"/>
          <w:b w:val="0"/>
          <w:i w:val="0"/>
          <w:sz w:val="22"/>
        </w:rPr>
        <w:t xml:space="preserve">Upon resolution of the device security incident, the TDX ticket is closed.  For tickets, that remain </w:t>
      </w:r>
      <w:r>
        <w:rPr>
          <w:rFonts w:ascii="Calibri" w:hAnsi="Calibri"/>
          <w:b/>
          <w:i w:val="0"/>
          <w:sz w:val="22"/>
        </w:rPr>
        <w:t>open</w:t>
      </w:r>
      <w:r>
        <w:rPr>
          <w:rFonts w:ascii="Calibri" w:hAnsi="Calibri"/>
          <w:b w:val="0"/>
          <w:i w:val="0"/>
          <w:sz w:val="22"/>
        </w:rPr>
        <w:t xml:space="preserve"> after the device is blocked the ticket is assigned to the ITS-Security TDX group.  The ticket will be closed when the individual responds to work with the TRC to resolve or two weeks after the device block has went into effect.  </w:t>
      </w:r>
    </w:p>
    <w:p>
      <w:pPr>
        <w:spacing w:line="276" w:lineRule="auto" w:after="160"/>
      </w:pPr>
      <w:r>
        <w:rPr>
          <w:rFonts w:ascii="Calibri" w:hAnsi="Calibri"/>
          <w:b w:val="0"/>
          <w:i w:val="0"/>
          <w:sz w:val="22"/>
        </w:rPr>
        <w:t>For highirisk scenarios, the ticket will not be closed until:</w:t>
      </w:r>
    </w:p>
    <w:p>
      <w:pPr>
        <w:pStyle w:val="ListBullet"/>
        <w:spacing w:line="276" w:lineRule="auto" w:after="80"/>
      </w:pPr>
      <w:r>
        <w:rPr>
          <w:rFonts w:ascii="Calibri" w:hAnsi="Calibri"/>
          <w:b w:val="0"/>
          <w:i w:val="0"/>
          <w:sz w:val="22"/>
        </w:rPr>
        <w:t>Security steps are performed for their account</w:t>
      </w:r>
    </w:p>
    <w:p>
      <w:pPr>
        <w:pStyle w:val="ListBullet"/>
        <w:spacing w:line="276" w:lineRule="auto" w:after="80"/>
      </w:pPr>
      <w:r>
        <w:rPr>
          <w:rFonts w:ascii="Calibri" w:hAnsi="Calibri"/>
          <w:b w:val="0"/>
          <w:i w:val="0"/>
          <w:sz w:val="22"/>
        </w:rPr>
        <w:t>The device that was identified at the center of the security incident is obtained by the TRC</w:t>
      </w:r>
    </w:p>
    <w:p>
      <w:pPr>
        <w:pStyle w:val="ListBullet"/>
        <w:spacing w:line="276" w:lineRule="auto" w:after="80"/>
      </w:pPr>
      <w:r>
        <w:rPr>
          <w:rFonts w:ascii="Calibri" w:hAnsi="Calibri"/>
          <w:b w:val="0"/>
          <w:i w:val="0"/>
          <w:sz w:val="22"/>
        </w:rPr>
        <w:t>The device that was identified at the center of the security incident has the hard drive low level formatted.</w:t>
      </w:r>
    </w:p>
    <w:p>
      <w:pPr>
        <w:pStyle w:val="ListBullet"/>
        <w:spacing w:line="276" w:lineRule="auto" w:after="80"/>
      </w:pPr>
      <w:r>
        <w:rPr>
          <w:rFonts w:ascii="Calibri" w:hAnsi="Calibri"/>
          <w:b w:val="0"/>
          <w:i w:val="0"/>
          <w:sz w:val="22"/>
        </w:rPr>
        <w:t>An alternative device is issue to the affected user</w:t>
      </w:r>
    </w:p>
    <w:p>
      <w:pPr>
        <w:spacing w:line="276" w:lineRule="auto" w:after="160"/>
      </w:pPr>
      <w:r>
        <w:rPr>
          <w:rFonts w:ascii="Calibri" w:hAnsi="Calibri"/>
          <w:b/>
          <w:i w:val="0"/>
          <w:sz w:val="22"/>
        </w:rPr>
        <w:t xml:space="preserve">NOTE:  </w:t>
      </w:r>
      <w:r>
        <w:rPr>
          <w:rFonts w:ascii="Calibri" w:hAnsi="Calibri"/>
          <w:b w:val="0"/>
          <w:i w:val="0"/>
          <w:sz w:val="22"/>
        </w:rPr>
        <w:t>For tickets that initially came from the MinnState System Office, a reply to the original System Office TDX ticket email will be needed to close that ticket.</w:t>
      </w:r>
    </w:p>
    <w:p>
      <w:r>
        <w:br/>
        <w:br/>
        <w:t>Accessibility Review &amp; Update Log:</w:t>
      </w:r>
    </w:p>
    <w:p>
      <w:r>
        <w:t>- [x] Content accuracy and link integrity verified</w:t>
        <w:br/>
        <w:t>- [x] High-contrast visual hierarchy implemented (Inter and Calibri)</w:t>
        <w:br/>
        <w:t>- [x] Image alt-text captions verified (all screenshots captioned)</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024/Security-incident-Managed-device-Blocking-device-access" TargetMode="External"/><Relationship Id="rId10" Type="http://schemas.openxmlformats.org/officeDocument/2006/relationships/hyperlink" Target="https://mnscu.sharepoint.com/:x:/r/teams/SMSU-ITS-Team/Shared%20Documents/Abuse%20incidents/2025%20Incident%20tracking.xlsx?d=wcd8b089b61f94958ad904b8d028fde35&amp;csf=1&amp;web=1&amp;e=770f7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