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CD4" w:rsidRPr="00482E91" w:rsidRDefault="00D772E7">
      <w:pPr>
        <w:spacing w:after="100"/>
        <w:rPr>
          <w:lang w:val="en-US"/>
        </w:rPr>
      </w:pPr>
      <w:r w:rsidRPr="00482E91">
        <w:rPr>
          <w:b/>
          <w:bCs/>
          <w:color w:val="142438"/>
          <w:sz w:val="44"/>
          <w:szCs w:val="44"/>
          <w:lang w:val="en-US"/>
        </w:rPr>
        <w:t>Home Credit Default Risk</w:t>
      </w:r>
    </w:p>
    <w:p w:rsidR="004C4CD4" w:rsidRPr="00482E91" w:rsidRDefault="00D772E7">
      <w:pPr>
        <w:spacing w:after="400"/>
        <w:rPr>
          <w:lang w:val="en-US"/>
        </w:rPr>
      </w:pPr>
      <w:r w:rsidRPr="00482E91">
        <w:rPr>
          <w:i/>
          <w:iCs/>
          <w:color w:val="5B6472"/>
          <w:sz w:val="26"/>
          <w:szCs w:val="26"/>
          <w:lang w:val="en-US"/>
        </w:rPr>
        <w:t>Complete Project Workflow — From Business Problem to Final Model</w:t>
      </w:r>
    </w:p>
    <w:p w:rsidR="004C4CD4" w:rsidRPr="00482E91" w:rsidRDefault="00D772E7">
      <w:pPr>
        <w:spacing w:after="100"/>
        <w:rPr>
          <w:lang w:val="en-US"/>
        </w:rPr>
      </w:pPr>
      <w:r w:rsidRPr="00482E91">
        <w:rPr>
          <w:b/>
          <w:bCs/>
          <w:sz w:val="21"/>
          <w:szCs w:val="21"/>
          <w:lang w:val="en-US"/>
        </w:rPr>
        <w:t xml:space="preserve">Purpose of this document: </w:t>
      </w:r>
      <w:r w:rsidRPr="00482E91">
        <w:rPr>
          <w:color w:val="5B6472"/>
          <w:sz w:val="21"/>
          <w:szCs w:val="21"/>
          <w:lang w:val="en-US"/>
        </w:rPr>
        <w:t>a plain-language walkthrough of everything done in this project, from the first question we asked to the final model — written so it can support a presentation to a non-technical audience. Alongside each result, I've included my own reasoning for the decisions made, not just what the numbers show.</w:t>
      </w:r>
    </w:p>
    <w:p w:rsidR="004C4CD4" w:rsidRPr="00482E91" w:rsidRDefault="00D772E7">
      <w:pPr>
        <w:rPr>
          <w:lang w:val="en-US"/>
        </w:rPr>
      </w:pPr>
      <w:r w:rsidRPr="00482E91">
        <w:rPr>
          <w:lang w:val="en-US"/>
        </w:rPr>
        <w:br w:type="page"/>
      </w:r>
    </w:p>
    <w:p w:rsidR="004C4CD4" w:rsidRPr="00482E91" w:rsidRDefault="00D772E7">
      <w:pPr>
        <w:pStyle w:val="Heading1"/>
        <w:spacing w:before="400" w:after="200"/>
        <w:rPr>
          <w:lang w:val="en-US"/>
        </w:rPr>
      </w:pPr>
      <w:r w:rsidRPr="00482E91">
        <w:rPr>
          <w:color w:val="142438"/>
          <w:lang w:val="en-US"/>
        </w:rPr>
        <w:lastRenderedPageBreak/>
        <w:t>1. The Business Problem</w:t>
      </w:r>
    </w:p>
    <w:p w:rsidR="004C4CD4" w:rsidRPr="00482E91" w:rsidRDefault="00D772E7">
      <w:pPr>
        <w:spacing w:after="160"/>
        <w:rPr>
          <w:lang w:val="en-US"/>
        </w:rPr>
      </w:pPr>
      <w:r w:rsidRPr="00482E91">
        <w:rPr>
          <w:color w:val="1A1E24"/>
          <w:sz w:val="22"/>
          <w:szCs w:val="22"/>
          <w:lang w:val="en-US"/>
        </w:rPr>
        <w:t>Home Credit is a lender that serves people who often don't have a traditional credit history — the kind of applicant a typical bank might turn away simply because there isn't enough data on them. The company's challenge is deciding, for each loan application, whether the person is likely to repay or likely to default.</w:t>
      </w:r>
    </w:p>
    <w:p w:rsidR="004C4CD4" w:rsidRPr="00482E91" w:rsidRDefault="00D772E7">
      <w:pPr>
        <w:spacing w:after="160"/>
        <w:rPr>
          <w:lang w:val="en-US"/>
        </w:rPr>
      </w:pPr>
      <w:r w:rsidRPr="00482E91">
        <w:rPr>
          <w:color w:val="1A1E24"/>
          <w:sz w:val="22"/>
          <w:szCs w:val="22"/>
          <w:lang w:val="en-US"/>
        </w:rPr>
        <w:t>Two kinds of mistakes are possible, and both cost the business:</w:t>
      </w:r>
    </w:p>
    <w:p w:rsidR="004C4CD4" w:rsidRPr="00482E91" w:rsidRDefault="00D772E7">
      <w:pPr>
        <w:pStyle w:val="ListParagraph"/>
        <w:numPr>
          <w:ilvl w:val="0"/>
          <w:numId w:val="1"/>
        </w:numPr>
        <w:spacing w:after="80"/>
        <w:rPr>
          <w:lang w:val="en-US"/>
        </w:rPr>
      </w:pPr>
      <w:r w:rsidRPr="00482E91">
        <w:rPr>
          <w:lang w:val="en-US"/>
        </w:rPr>
        <w:t>Approving someone who later struggles to repay → financial loss, collections costs.</w:t>
      </w:r>
    </w:p>
    <w:p w:rsidR="004C4CD4" w:rsidRPr="00482E91" w:rsidRDefault="00D772E7">
      <w:pPr>
        <w:pStyle w:val="ListParagraph"/>
        <w:numPr>
          <w:ilvl w:val="0"/>
          <w:numId w:val="1"/>
        </w:numPr>
        <w:spacing w:after="80"/>
        <w:rPr>
          <w:lang w:val="en-US"/>
        </w:rPr>
      </w:pPr>
      <w:r w:rsidRPr="00482E91">
        <w:rPr>
          <w:lang w:val="en-US"/>
        </w:rPr>
        <w:t>Rejecting someone who would have repaid fine → lost revenue, and a customer turned away who didn't deserve to be.</w:t>
      </w:r>
    </w:p>
    <w:p w:rsidR="004C4CD4" w:rsidRPr="00482E91" w:rsidRDefault="00D772E7">
      <w:pPr>
        <w:spacing w:after="160"/>
        <w:rPr>
          <w:lang w:val="en-US"/>
        </w:rPr>
      </w:pPr>
      <w:r w:rsidRPr="00482E91">
        <w:rPr>
          <w:color w:val="1A1E24"/>
          <w:sz w:val="22"/>
          <w:szCs w:val="22"/>
          <w:lang w:val="en-US"/>
        </w:rPr>
        <w:t>A machine learning model can help by estimating, from the information available at application time, how risky each applicant is — but it can only ever be a decision-support tool. The final call on what risk level is acceptable is a business decision, not a modeling one. That distinction shows up repeatedly throughout this project.</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 xml:space="preserve">I think this framing matters a lot when presenting to non-technical stakeholders. It's tempting to present a model as 'the answer,' but really it's a ranking tool: it tells you </w:t>
      </w:r>
      <w:proofErr w:type="gramStart"/>
      <w:r w:rsidRPr="00482E91">
        <w:rPr>
          <w:i/>
          <w:iCs/>
          <w:color w:val="1A1E24"/>
          <w:sz w:val="21"/>
          <w:szCs w:val="21"/>
          <w:lang w:val="en-US"/>
        </w:rPr>
        <w:t>who's</w:t>
      </w:r>
      <w:proofErr w:type="gramEnd"/>
      <w:r w:rsidRPr="00482E91">
        <w:rPr>
          <w:i/>
          <w:iCs/>
          <w:color w:val="1A1E24"/>
          <w:sz w:val="21"/>
          <w:szCs w:val="21"/>
          <w:lang w:val="en-US"/>
        </w:rPr>
        <w:t xml:space="preserve"> riskier than whom, not what to actually do about it. Keeping this distinction visible builds trust, because it's honest about what the model can and can't decide on its own.</w:t>
      </w:r>
    </w:p>
    <w:p w:rsidR="004C4CD4" w:rsidRPr="00482E91" w:rsidRDefault="00D772E7">
      <w:pPr>
        <w:pStyle w:val="Heading1"/>
        <w:spacing w:before="400" w:after="200"/>
        <w:rPr>
          <w:lang w:val="en-US"/>
        </w:rPr>
      </w:pPr>
      <w:r w:rsidRPr="00482E91">
        <w:rPr>
          <w:color w:val="142438"/>
          <w:lang w:val="en-US"/>
        </w:rPr>
        <w:t>2. Understanding the Data</w:t>
      </w:r>
    </w:p>
    <w:p w:rsidR="004C4CD4" w:rsidRPr="00482E91" w:rsidRDefault="00D772E7">
      <w:pPr>
        <w:spacing w:after="160"/>
        <w:rPr>
          <w:lang w:val="en-US"/>
        </w:rPr>
      </w:pPr>
      <w:r w:rsidRPr="00482E91">
        <w:rPr>
          <w:color w:val="1A1E24"/>
          <w:sz w:val="22"/>
          <w:szCs w:val="22"/>
          <w:lang w:val="en-US"/>
        </w:rPr>
        <w:t xml:space="preserve">The dataset comes from a public </w:t>
      </w:r>
      <w:proofErr w:type="spellStart"/>
      <w:r w:rsidRPr="00482E91">
        <w:rPr>
          <w:color w:val="1A1E24"/>
          <w:sz w:val="22"/>
          <w:szCs w:val="22"/>
          <w:lang w:val="en-US"/>
        </w:rPr>
        <w:t>Kaggle</w:t>
      </w:r>
      <w:proofErr w:type="spellEnd"/>
      <w:r w:rsidRPr="00482E91">
        <w:rPr>
          <w:color w:val="1A1E24"/>
          <w:sz w:val="22"/>
          <w:szCs w:val="22"/>
          <w:lang w:val="en-US"/>
        </w:rPr>
        <w:t xml:space="preserve"> competition and includes one main table (one row per loan application) plus several related tables capturing an applicant's history with other lenders and with Home Credit itself.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8"/>
        <w:gridCol w:w="3009"/>
        <w:gridCol w:w="3009"/>
      </w:tblGrid>
      <w:tr w:rsidR="004C4CD4">
        <w:trPr>
          <w:tblHeader/>
        </w:trPr>
        <w:tc>
          <w:tcPr>
            <w:tcW w:w="3008" w:type="dxa"/>
            <w:shd w:val="clear" w:color="auto" w:fill="142438"/>
          </w:tcPr>
          <w:p w:rsidR="004C4CD4" w:rsidRDefault="00D772E7">
            <w:pPr>
              <w:jc w:val="center"/>
            </w:pPr>
            <w:r>
              <w:rPr>
                <w:b/>
                <w:bCs/>
                <w:color w:val="FFFFFF"/>
              </w:rPr>
              <w:t>Table</w:t>
            </w:r>
          </w:p>
        </w:tc>
        <w:tc>
          <w:tcPr>
            <w:tcW w:w="3008" w:type="dxa"/>
            <w:shd w:val="clear" w:color="auto" w:fill="142438"/>
          </w:tcPr>
          <w:p w:rsidR="004C4CD4" w:rsidRDefault="00D772E7">
            <w:pPr>
              <w:jc w:val="center"/>
            </w:pPr>
            <w:r>
              <w:rPr>
                <w:b/>
                <w:bCs/>
                <w:color w:val="FFFFFF"/>
              </w:rPr>
              <w:t>Rows</w:t>
            </w:r>
          </w:p>
        </w:tc>
        <w:tc>
          <w:tcPr>
            <w:tcW w:w="3008" w:type="dxa"/>
            <w:shd w:val="clear" w:color="auto" w:fill="142438"/>
          </w:tcPr>
          <w:p w:rsidR="004C4CD4" w:rsidRDefault="00D772E7">
            <w:pPr>
              <w:jc w:val="center"/>
            </w:pPr>
            <w:r>
              <w:rPr>
                <w:b/>
                <w:bCs/>
                <w:color w:val="FFFFFF"/>
              </w:rPr>
              <w:t>What it captures</w:t>
            </w:r>
          </w:p>
        </w:tc>
      </w:tr>
      <w:tr w:rsidR="004C4CD4" w:rsidRPr="008D7230">
        <w:tc>
          <w:tcPr>
            <w:tcW w:w="3008" w:type="dxa"/>
            <w:shd w:val="clear" w:color="auto" w:fill="FFFFFF"/>
          </w:tcPr>
          <w:p w:rsidR="004C4CD4" w:rsidRDefault="00D772E7">
            <w:r>
              <w:rPr>
                <w:color w:val="1A1E24"/>
              </w:rPr>
              <w:t>application_train.csv</w:t>
            </w:r>
          </w:p>
        </w:tc>
        <w:tc>
          <w:tcPr>
            <w:tcW w:w="3008" w:type="dxa"/>
            <w:shd w:val="clear" w:color="auto" w:fill="FFFFFF"/>
          </w:tcPr>
          <w:p w:rsidR="004C4CD4" w:rsidRDefault="00D772E7">
            <w:pPr>
              <w:jc w:val="center"/>
            </w:pPr>
            <w:r>
              <w:rPr>
                <w:color w:val="1A1E24"/>
              </w:rPr>
              <w:t>307,511</w:t>
            </w:r>
          </w:p>
        </w:tc>
        <w:tc>
          <w:tcPr>
            <w:tcW w:w="3008" w:type="dxa"/>
            <w:shd w:val="clear" w:color="auto" w:fill="FFFFFF"/>
          </w:tcPr>
          <w:p w:rsidR="004C4CD4" w:rsidRPr="00482E91" w:rsidRDefault="00D772E7">
            <w:pPr>
              <w:jc w:val="center"/>
              <w:rPr>
                <w:lang w:val="en-US"/>
              </w:rPr>
            </w:pPr>
            <w:r w:rsidRPr="00482E91">
              <w:rPr>
                <w:color w:val="1A1E24"/>
                <w:lang w:val="en-US"/>
              </w:rPr>
              <w:t>One row per applicant: demographics, income, loan details, and the outcome (defaulted or not)</w:t>
            </w:r>
          </w:p>
        </w:tc>
      </w:tr>
      <w:tr w:rsidR="004C4CD4" w:rsidRPr="008D7230">
        <w:tc>
          <w:tcPr>
            <w:tcW w:w="3008" w:type="dxa"/>
            <w:shd w:val="clear" w:color="auto" w:fill="F4F6F8"/>
          </w:tcPr>
          <w:p w:rsidR="004C4CD4" w:rsidRDefault="00D772E7">
            <w:r>
              <w:rPr>
                <w:color w:val="1A1E24"/>
              </w:rPr>
              <w:t>bureau.csv</w:t>
            </w:r>
          </w:p>
        </w:tc>
        <w:tc>
          <w:tcPr>
            <w:tcW w:w="3008" w:type="dxa"/>
            <w:shd w:val="clear" w:color="auto" w:fill="F4F6F8"/>
          </w:tcPr>
          <w:p w:rsidR="004C4CD4" w:rsidRDefault="00D772E7">
            <w:pPr>
              <w:jc w:val="center"/>
            </w:pPr>
            <w:r>
              <w:rPr>
                <w:color w:val="1A1E24"/>
              </w:rPr>
              <w:t>1,716,428</w:t>
            </w:r>
          </w:p>
        </w:tc>
        <w:tc>
          <w:tcPr>
            <w:tcW w:w="3008" w:type="dxa"/>
            <w:shd w:val="clear" w:color="auto" w:fill="F4F6F8"/>
          </w:tcPr>
          <w:p w:rsidR="004C4CD4" w:rsidRPr="00482E91" w:rsidRDefault="00D772E7">
            <w:pPr>
              <w:jc w:val="center"/>
              <w:rPr>
                <w:lang w:val="en-US"/>
              </w:rPr>
            </w:pPr>
            <w:r w:rsidRPr="00482E91">
              <w:rPr>
                <w:color w:val="1A1E24"/>
                <w:lang w:val="en-US"/>
              </w:rPr>
              <w:t>Applicant's credit history with other financial institutions</w:t>
            </w:r>
          </w:p>
        </w:tc>
      </w:tr>
      <w:tr w:rsidR="004C4CD4" w:rsidRPr="008D7230">
        <w:tc>
          <w:tcPr>
            <w:tcW w:w="3008" w:type="dxa"/>
            <w:shd w:val="clear" w:color="auto" w:fill="FFFFFF"/>
          </w:tcPr>
          <w:p w:rsidR="004C4CD4" w:rsidRDefault="00D772E7">
            <w:r>
              <w:rPr>
                <w:color w:val="1A1E24"/>
              </w:rPr>
              <w:t>installments_payments.csv</w:t>
            </w:r>
          </w:p>
        </w:tc>
        <w:tc>
          <w:tcPr>
            <w:tcW w:w="3008" w:type="dxa"/>
            <w:shd w:val="clear" w:color="auto" w:fill="FFFFFF"/>
          </w:tcPr>
          <w:p w:rsidR="004C4CD4" w:rsidRDefault="00D772E7">
            <w:pPr>
              <w:jc w:val="center"/>
            </w:pPr>
            <w:r>
              <w:rPr>
                <w:color w:val="1A1E24"/>
              </w:rPr>
              <w:t>~13,600,000</w:t>
            </w:r>
          </w:p>
        </w:tc>
        <w:tc>
          <w:tcPr>
            <w:tcW w:w="3008" w:type="dxa"/>
            <w:shd w:val="clear" w:color="auto" w:fill="FFFFFF"/>
          </w:tcPr>
          <w:p w:rsidR="004C4CD4" w:rsidRPr="00482E91" w:rsidRDefault="00D772E7">
            <w:pPr>
              <w:jc w:val="center"/>
              <w:rPr>
                <w:lang w:val="en-US"/>
              </w:rPr>
            </w:pPr>
            <w:r w:rsidRPr="00482E91">
              <w:rPr>
                <w:color w:val="1A1E24"/>
                <w:lang w:val="en-US"/>
              </w:rPr>
              <w:t>History of actual installment payments on past credits — used to check punctuality</w:t>
            </w:r>
          </w:p>
        </w:tc>
      </w:tr>
    </w:tbl>
    <w:p w:rsidR="004C4CD4" w:rsidRPr="00482E91" w:rsidRDefault="004C4CD4">
      <w:pPr>
        <w:spacing w:before="200" w:after="160"/>
        <w:rPr>
          <w:lang w:val="en-US"/>
        </w:rPr>
      </w:pPr>
    </w:p>
    <w:p w:rsidR="004C4CD4" w:rsidRPr="00482E91" w:rsidRDefault="00D772E7">
      <w:pPr>
        <w:spacing w:after="160"/>
        <w:rPr>
          <w:lang w:val="en-US"/>
        </w:rPr>
      </w:pPr>
      <w:r w:rsidRPr="00482E91">
        <w:rPr>
          <w:color w:val="1A1E24"/>
          <w:sz w:val="22"/>
          <w:szCs w:val="22"/>
          <w:lang w:val="en-US"/>
        </w:rPr>
        <w:t>Right away, one fact shaped almost every later decision: only about 8% of applicants in the training data actually defaulted. This kind of imbalance means a model that just always guesses "will repay" would already be right 92% of the time — which sounds good but is useless. It's why we didn't use plain accuracy anywhere in this project, and used a different measure (explained in the next section) instead.</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This is usually the first surprise for a non-technical audience: a 92%-accurate model can be worthless. I plan to lead with this fact early in the presentation, because it explains why every later decision — the metric we chose, how we split the data, how we weighted the model — traces back to this one number.</w:t>
      </w:r>
    </w:p>
    <w:p w:rsidR="004C4CD4" w:rsidRPr="00482E91" w:rsidRDefault="00D772E7">
      <w:pPr>
        <w:pStyle w:val="Heading1"/>
        <w:spacing w:before="400" w:after="200"/>
        <w:rPr>
          <w:lang w:val="en-US"/>
        </w:rPr>
      </w:pPr>
      <w:r w:rsidRPr="00482E91">
        <w:rPr>
          <w:color w:val="142438"/>
          <w:lang w:val="en-US"/>
        </w:rPr>
        <w:t>3. Our Approach</w:t>
      </w:r>
    </w:p>
    <w:p w:rsidR="004C4CD4" w:rsidRPr="00482E91" w:rsidRDefault="00D772E7">
      <w:pPr>
        <w:spacing w:after="160"/>
        <w:rPr>
          <w:lang w:val="en-US"/>
        </w:rPr>
      </w:pPr>
      <w:r w:rsidRPr="00482E91">
        <w:rPr>
          <w:color w:val="1A1E24"/>
          <w:sz w:val="22"/>
          <w:szCs w:val="22"/>
          <w:lang w:val="en-US"/>
        </w:rPr>
        <w:t>We followed the standard data science lifecycle: understand and clean the data, build a simple baseline model, analyze where it goes wrong, improve it, and compare alternatives.</w:t>
      </w:r>
    </w:p>
    <w:p w:rsidR="004C4CD4" w:rsidRPr="00482E91" w:rsidRDefault="00D772E7">
      <w:pPr>
        <w:pStyle w:val="Heading2"/>
        <w:spacing w:before="300" w:after="150"/>
        <w:rPr>
          <w:lang w:val="en-US"/>
        </w:rPr>
      </w:pPr>
      <w:r w:rsidRPr="00482E91">
        <w:rPr>
          <w:color w:val="2E8B7C"/>
          <w:lang w:val="en-US"/>
        </w:rPr>
        <w:lastRenderedPageBreak/>
        <w:t>3.1 Choosing a metric: AUC-ROC</w:t>
      </w:r>
    </w:p>
    <w:p w:rsidR="004C4CD4" w:rsidRPr="00482E91" w:rsidRDefault="00D772E7">
      <w:pPr>
        <w:spacing w:after="160"/>
        <w:rPr>
          <w:lang w:val="en-US"/>
        </w:rPr>
      </w:pPr>
      <w:r w:rsidRPr="00482E91">
        <w:rPr>
          <w:color w:val="1A1E24"/>
          <w:sz w:val="22"/>
          <w:szCs w:val="22"/>
          <w:lang w:val="en-US"/>
        </w:rPr>
        <w:t xml:space="preserve">Because of the imbalance mentioned above, we used AUC-ROC instead of accuracy. In plain terms, AUC measures how well the model separates "will default" applicants from "will repay" applicants, across every possible risk cutoff — not just one fixed guess. A score of 0.50 means the model is no better than a coin flip; 1.00 would mean perfect separation. This also matches the metric used in the original </w:t>
      </w:r>
      <w:proofErr w:type="spellStart"/>
      <w:r w:rsidRPr="00482E91">
        <w:rPr>
          <w:color w:val="1A1E24"/>
          <w:sz w:val="22"/>
          <w:szCs w:val="22"/>
          <w:lang w:val="en-US"/>
        </w:rPr>
        <w:t>Kaggle</w:t>
      </w:r>
      <w:proofErr w:type="spellEnd"/>
      <w:r w:rsidRPr="00482E91">
        <w:rPr>
          <w:color w:val="1A1E24"/>
          <w:sz w:val="22"/>
          <w:szCs w:val="22"/>
          <w:lang w:val="en-US"/>
        </w:rPr>
        <w:t xml:space="preserve"> competition, so our results are comparable to public benchmarks.</w:t>
      </w:r>
    </w:p>
    <w:p w:rsidR="004C4CD4" w:rsidRPr="00482E91" w:rsidRDefault="00D772E7">
      <w:pPr>
        <w:pStyle w:val="Heading2"/>
        <w:spacing w:before="300" w:after="150"/>
        <w:rPr>
          <w:lang w:val="en-US"/>
        </w:rPr>
      </w:pPr>
      <w:r w:rsidRPr="00482E91">
        <w:rPr>
          <w:color w:val="2E8B7C"/>
          <w:lang w:val="en-US"/>
        </w:rPr>
        <w:t>3.2 Cleaning decisions — and why they matter</w:t>
      </w:r>
    </w:p>
    <w:p w:rsidR="004C4CD4" w:rsidRPr="00482E91" w:rsidRDefault="00D772E7">
      <w:pPr>
        <w:spacing w:after="160"/>
        <w:rPr>
          <w:lang w:val="en-US"/>
        </w:rPr>
      </w:pPr>
      <w:r w:rsidRPr="00482E91">
        <w:rPr>
          <w:color w:val="1A1E24"/>
          <w:sz w:val="22"/>
          <w:szCs w:val="22"/>
          <w:lang w:val="en-US"/>
        </w:rPr>
        <w:t>Several columns in the data were missing for a large share of applicants (some over 50%). The easy option is to just drop anything too incomplete. We mostly did that — except for one feature, EXT_SOURCE_1 (an external credit score), which was missing for 56% of applicants but turned out to be one of the three strongest predictors in the entire dataset. Dropping it by a blind rule would have thrown away real signal.</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This is a good, concrete example of why a human should double check automated rules rather than trusting a threshold blindly. A '50% missing, so drop it' rule is a reasonable default, but it's still just a heuristic — and heuristics can be wrong. I'd use this as a small case study in the presentation to show the team isn't just running a pipeline on autopilot.</w:t>
      </w:r>
    </w:p>
    <w:p w:rsidR="004C4CD4" w:rsidRPr="00482E91" w:rsidRDefault="00D772E7">
      <w:pPr>
        <w:spacing w:after="160"/>
        <w:rPr>
          <w:lang w:val="en-US"/>
        </w:rPr>
      </w:pPr>
      <w:r w:rsidRPr="00482E91">
        <w:rPr>
          <w:color w:val="1A1E24"/>
          <w:sz w:val="22"/>
          <w:szCs w:val="22"/>
          <w:lang w:val="en-US"/>
        </w:rPr>
        <w:t>We also found a subtler issue: a column recording how many days someone had been employed contained a placeholder value of 365,243 days (over 1,000 years) for about 18% of applicants — almost certainly a hidden code meaning "not currently employed," likely retirees. Left as-is</w:t>
      </w:r>
      <w:proofErr w:type="gramStart"/>
      <w:r w:rsidRPr="00482E91">
        <w:rPr>
          <w:color w:val="1A1E24"/>
          <w:sz w:val="22"/>
          <w:szCs w:val="22"/>
          <w:lang w:val="en-US"/>
        </w:rPr>
        <w:t>,</w:t>
      </w:r>
      <w:proofErr w:type="gramEnd"/>
      <w:r w:rsidRPr="00482E91">
        <w:rPr>
          <w:color w:val="1A1E24"/>
          <w:sz w:val="22"/>
          <w:szCs w:val="22"/>
          <w:lang w:val="en-US"/>
        </w:rPr>
        <w:t xml:space="preserve"> this distorted the model's internal reasoning, even though it didn't change the model's overall accuracy.</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This one is my favorite finding to explain to a non-technical audience, because it's intuitive once you hear it: 'the computer thought some people had jobs for a thousand years.' It's a good illustration of why data quality checks matter even when the headline number (AUC) looks fine — a model can be quietly learning the wrong reason for a right answer.</w:t>
      </w:r>
    </w:p>
    <w:p w:rsidR="004C4CD4" w:rsidRPr="00482E91" w:rsidRDefault="00D772E7">
      <w:pPr>
        <w:pStyle w:val="Heading1"/>
        <w:spacing w:before="400" w:after="200"/>
        <w:rPr>
          <w:lang w:val="en-US"/>
        </w:rPr>
      </w:pPr>
      <w:r w:rsidRPr="00482E91">
        <w:rPr>
          <w:color w:val="142438"/>
          <w:lang w:val="en-US"/>
        </w:rPr>
        <w:t>4. Baseline Results (Milestone 1)</w:t>
      </w:r>
    </w:p>
    <w:p w:rsidR="004C4CD4" w:rsidRPr="00482E91" w:rsidRDefault="00D772E7">
      <w:pPr>
        <w:spacing w:after="160"/>
        <w:rPr>
          <w:lang w:val="en-US"/>
        </w:rPr>
      </w:pPr>
      <w:r w:rsidRPr="00482E91">
        <w:rPr>
          <w:color w:val="1A1E24"/>
          <w:sz w:val="22"/>
          <w:szCs w:val="22"/>
          <w:lang w:val="en-US"/>
        </w:rPr>
        <w:t>We trained two simple models to establish a starting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8"/>
        <w:gridCol w:w="3009"/>
        <w:gridCol w:w="3009"/>
      </w:tblGrid>
      <w:tr w:rsidR="004C4CD4">
        <w:trPr>
          <w:tblHeader/>
        </w:trPr>
        <w:tc>
          <w:tcPr>
            <w:tcW w:w="3008" w:type="dxa"/>
            <w:shd w:val="clear" w:color="auto" w:fill="142438"/>
          </w:tcPr>
          <w:p w:rsidR="004C4CD4" w:rsidRDefault="00D772E7">
            <w:pPr>
              <w:jc w:val="center"/>
            </w:pPr>
            <w:r>
              <w:rPr>
                <w:b/>
                <w:bCs/>
                <w:color w:val="FFFFFF"/>
              </w:rPr>
              <w:t>Model</w:t>
            </w:r>
          </w:p>
        </w:tc>
        <w:tc>
          <w:tcPr>
            <w:tcW w:w="3008" w:type="dxa"/>
            <w:shd w:val="clear" w:color="auto" w:fill="142438"/>
          </w:tcPr>
          <w:p w:rsidR="004C4CD4" w:rsidRDefault="00D772E7">
            <w:pPr>
              <w:jc w:val="center"/>
            </w:pPr>
            <w:r>
              <w:rPr>
                <w:b/>
                <w:bCs/>
                <w:color w:val="FFFFFF"/>
              </w:rPr>
              <w:t>AUC Score</w:t>
            </w:r>
          </w:p>
        </w:tc>
        <w:tc>
          <w:tcPr>
            <w:tcW w:w="3008" w:type="dxa"/>
            <w:shd w:val="clear" w:color="auto" w:fill="142438"/>
          </w:tcPr>
          <w:p w:rsidR="004C4CD4" w:rsidRDefault="00D772E7">
            <w:pPr>
              <w:jc w:val="center"/>
            </w:pPr>
            <w:r>
              <w:rPr>
                <w:b/>
                <w:bCs/>
                <w:color w:val="FFFFFF"/>
              </w:rPr>
              <w:t>Notes</w:t>
            </w:r>
          </w:p>
        </w:tc>
      </w:tr>
      <w:tr w:rsidR="004C4CD4" w:rsidRPr="008D7230">
        <w:tc>
          <w:tcPr>
            <w:tcW w:w="3008" w:type="dxa"/>
            <w:shd w:val="clear" w:color="auto" w:fill="FFFFFF"/>
          </w:tcPr>
          <w:p w:rsidR="004C4CD4" w:rsidRDefault="00D772E7">
            <w:r>
              <w:rPr>
                <w:color w:val="1A1E24"/>
              </w:rPr>
              <w:t>Logistic Regression</w:t>
            </w:r>
          </w:p>
        </w:tc>
        <w:tc>
          <w:tcPr>
            <w:tcW w:w="3008" w:type="dxa"/>
            <w:shd w:val="clear" w:color="auto" w:fill="FFFFFF"/>
          </w:tcPr>
          <w:p w:rsidR="004C4CD4" w:rsidRDefault="00D772E7">
            <w:pPr>
              <w:jc w:val="center"/>
            </w:pPr>
            <w:r>
              <w:rPr>
                <w:color w:val="1A1E24"/>
              </w:rPr>
              <w:t>0.7472</w:t>
            </w:r>
          </w:p>
        </w:tc>
        <w:tc>
          <w:tcPr>
            <w:tcW w:w="3008" w:type="dxa"/>
            <w:shd w:val="clear" w:color="auto" w:fill="FFFFFF"/>
          </w:tcPr>
          <w:p w:rsidR="004C4CD4" w:rsidRPr="00482E91" w:rsidRDefault="00D772E7">
            <w:pPr>
              <w:jc w:val="center"/>
              <w:rPr>
                <w:lang w:val="en-US"/>
              </w:rPr>
            </w:pPr>
            <w:r w:rsidRPr="00482E91">
              <w:rPr>
                <w:color w:val="1A1E24"/>
                <w:lang w:val="en-US"/>
              </w:rPr>
              <w:t>A simple, interpretable linear model</w:t>
            </w:r>
          </w:p>
        </w:tc>
      </w:tr>
      <w:tr w:rsidR="004C4CD4" w:rsidRPr="008D7230">
        <w:tc>
          <w:tcPr>
            <w:tcW w:w="3008" w:type="dxa"/>
            <w:shd w:val="clear" w:color="auto" w:fill="F4F6F8"/>
          </w:tcPr>
          <w:p w:rsidR="004C4CD4" w:rsidRDefault="00D772E7">
            <w:r>
              <w:rPr>
                <w:color w:val="1A1E24"/>
              </w:rPr>
              <w:t>LightGBM</w:t>
            </w:r>
          </w:p>
        </w:tc>
        <w:tc>
          <w:tcPr>
            <w:tcW w:w="3008" w:type="dxa"/>
            <w:shd w:val="clear" w:color="auto" w:fill="F4F6F8"/>
          </w:tcPr>
          <w:p w:rsidR="004C4CD4" w:rsidRDefault="00D772E7">
            <w:pPr>
              <w:jc w:val="center"/>
            </w:pPr>
            <w:r>
              <w:rPr>
                <w:color w:val="1A1E24"/>
              </w:rPr>
              <w:t>0.7619</w:t>
            </w:r>
          </w:p>
        </w:tc>
        <w:tc>
          <w:tcPr>
            <w:tcW w:w="3008" w:type="dxa"/>
            <w:shd w:val="clear" w:color="auto" w:fill="F4F6F8"/>
          </w:tcPr>
          <w:p w:rsidR="004C4CD4" w:rsidRPr="00482E91" w:rsidRDefault="00D772E7">
            <w:pPr>
              <w:jc w:val="center"/>
              <w:rPr>
                <w:lang w:val="en-US"/>
              </w:rPr>
            </w:pPr>
            <w:r w:rsidRPr="00482E91">
              <w:rPr>
                <w:color w:val="1A1E24"/>
                <w:lang w:val="en-US"/>
              </w:rPr>
              <w:t>A tree-based model well suited to this kind of data</w:t>
            </w:r>
          </w:p>
        </w:tc>
      </w:tr>
    </w:tbl>
    <w:p w:rsidR="004C4CD4" w:rsidRPr="00482E91" w:rsidRDefault="004C4CD4">
      <w:pPr>
        <w:spacing w:before="200" w:after="160"/>
        <w:rPr>
          <w:lang w:val="en-US"/>
        </w:rPr>
      </w:pPr>
    </w:p>
    <w:p w:rsidR="004C4CD4" w:rsidRPr="00482E91" w:rsidRDefault="00D772E7">
      <w:pPr>
        <w:spacing w:after="160"/>
        <w:rPr>
          <w:lang w:val="en-US"/>
        </w:rPr>
      </w:pPr>
      <w:r w:rsidRPr="00482E91">
        <w:rPr>
          <w:color w:val="1A1E24"/>
          <w:sz w:val="22"/>
          <w:szCs w:val="22"/>
          <w:lang w:val="en-US"/>
        </w:rPr>
        <w:t>The strongest predictors by far were three "external source" scores — third-party credit scores Home Credit has access to — followed by loan size, age, and employment status.</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For a non-technical audience, I'd translate 0.76 as: 'if you picked one random defaulter and one random non-defaulter from our data, the model correctly identifies the riskier one about 76% of the time.' That framing tends to land better than the raw AUC number, which means nothing to most people on first hearing it.</w:t>
      </w:r>
    </w:p>
    <w:p w:rsidR="00482E91" w:rsidRDefault="00482E91">
      <w:pPr>
        <w:pStyle w:val="Heading1"/>
        <w:spacing w:before="400" w:after="200"/>
        <w:rPr>
          <w:color w:val="142438"/>
          <w:lang w:val="en-US"/>
        </w:rPr>
      </w:pPr>
    </w:p>
    <w:p w:rsidR="00482E91" w:rsidRDefault="00482E91">
      <w:pPr>
        <w:pStyle w:val="Heading1"/>
        <w:spacing w:before="400" w:after="200"/>
        <w:rPr>
          <w:color w:val="142438"/>
          <w:lang w:val="en-US"/>
        </w:rPr>
      </w:pPr>
    </w:p>
    <w:sectPr w:rsidR="00482E91" w:rsidSect="004C4CD4">
      <w:pgSz w:w="12240" w:h="15840"/>
      <w:pgMar w:top="1000" w:right="1200" w:bottom="1000" w:left="12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B94A8C"/>
    <w:multiLevelType w:val="hybridMultilevel"/>
    <w:tmpl w:val="2D0EC5F0"/>
    <w:lvl w:ilvl="0" w:tplc="1216203E">
      <w:start w:val="1"/>
      <w:numFmt w:val="bullet"/>
      <w:lvlText w:val="•"/>
      <w:lvlJc w:val="left"/>
    </w:lvl>
    <w:lvl w:ilvl="1" w:tplc="3E1293BA">
      <w:numFmt w:val="decimal"/>
      <w:lvlText w:val=""/>
      <w:lvlJc w:val="left"/>
    </w:lvl>
    <w:lvl w:ilvl="2" w:tplc="EFE834A0">
      <w:numFmt w:val="decimal"/>
      <w:lvlText w:val=""/>
      <w:lvlJc w:val="left"/>
    </w:lvl>
    <w:lvl w:ilvl="3" w:tplc="42FAEC94">
      <w:numFmt w:val="decimal"/>
      <w:lvlText w:val=""/>
      <w:lvlJc w:val="left"/>
    </w:lvl>
    <w:lvl w:ilvl="4" w:tplc="7B26CD62">
      <w:numFmt w:val="decimal"/>
      <w:lvlText w:val=""/>
      <w:lvlJc w:val="left"/>
    </w:lvl>
    <w:lvl w:ilvl="5" w:tplc="B3BA6FE4">
      <w:numFmt w:val="decimal"/>
      <w:lvlText w:val=""/>
      <w:lvlJc w:val="left"/>
    </w:lvl>
    <w:lvl w:ilvl="6" w:tplc="08FC267E">
      <w:numFmt w:val="decimal"/>
      <w:lvlText w:val=""/>
      <w:lvlJc w:val="left"/>
    </w:lvl>
    <w:lvl w:ilvl="7" w:tplc="FB34C2B0">
      <w:numFmt w:val="decimal"/>
      <w:lvlText w:val=""/>
      <w:lvlJc w:val="left"/>
    </w:lvl>
    <w:lvl w:ilvl="8" w:tplc="6DAE081A">
      <w:numFmt w:val="decimal"/>
      <w:lvlText w:val=""/>
      <w:lvlJc w:val="left"/>
    </w:lvl>
  </w:abstractNum>
  <w:abstractNum w:abstractNumId="1">
    <w:nsid w:val="5FE773BB"/>
    <w:multiLevelType w:val="hybridMultilevel"/>
    <w:tmpl w:val="3A5C38C0"/>
    <w:lvl w:ilvl="0" w:tplc="AA447168">
      <w:start w:val="1"/>
      <w:numFmt w:val="bullet"/>
      <w:lvlText w:val="●"/>
      <w:lvlJc w:val="left"/>
      <w:pPr>
        <w:ind w:left="720" w:hanging="360"/>
      </w:pPr>
    </w:lvl>
    <w:lvl w:ilvl="1" w:tplc="1BA866C6">
      <w:start w:val="1"/>
      <w:numFmt w:val="bullet"/>
      <w:lvlText w:val="○"/>
      <w:lvlJc w:val="left"/>
      <w:pPr>
        <w:ind w:left="1440" w:hanging="360"/>
      </w:pPr>
    </w:lvl>
    <w:lvl w:ilvl="2" w:tplc="4DC02E3E">
      <w:start w:val="1"/>
      <w:numFmt w:val="bullet"/>
      <w:lvlText w:val="■"/>
      <w:lvlJc w:val="left"/>
      <w:pPr>
        <w:ind w:left="2160" w:hanging="360"/>
      </w:pPr>
    </w:lvl>
    <w:lvl w:ilvl="3" w:tplc="7C343DC8">
      <w:start w:val="1"/>
      <w:numFmt w:val="bullet"/>
      <w:lvlText w:val="●"/>
      <w:lvlJc w:val="left"/>
      <w:pPr>
        <w:ind w:left="2880" w:hanging="360"/>
      </w:pPr>
    </w:lvl>
    <w:lvl w:ilvl="4" w:tplc="B1F80C88">
      <w:start w:val="1"/>
      <w:numFmt w:val="bullet"/>
      <w:lvlText w:val="○"/>
      <w:lvlJc w:val="left"/>
      <w:pPr>
        <w:ind w:left="3600" w:hanging="360"/>
      </w:pPr>
    </w:lvl>
    <w:lvl w:ilvl="5" w:tplc="1BCE14B0">
      <w:start w:val="1"/>
      <w:numFmt w:val="bullet"/>
      <w:lvlText w:val="■"/>
      <w:lvlJc w:val="left"/>
      <w:pPr>
        <w:ind w:left="4320" w:hanging="360"/>
      </w:pPr>
    </w:lvl>
    <w:lvl w:ilvl="6" w:tplc="104EC458">
      <w:start w:val="1"/>
      <w:numFmt w:val="bullet"/>
      <w:lvlText w:val="●"/>
      <w:lvlJc w:val="left"/>
      <w:pPr>
        <w:ind w:left="5040" w:hanging="360"/>
      </w:pPr>
    </w:lvl>
    <w:lvl w:ilvl="7" w:tplc="F32C6874">
      <w:start w:val="1"/>
      <w:numFmt w:val="bullet"/>
      <w:lvlText w:val="●"/>
      <w:lvlJc w:val="left"/>
      <w:pPr>
        <w:ind w:left="5760" w:hanging="360"/>
      </w:pPr>
    </w:lvl>
    <w:lvl w:ilvl="8" w:tplc="B760651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08"/>
  <w:hyphenationZone w:val="425"/>
  <w:characterSpacingControl w:val="doNotCompress"/>
  <w:compat/>
  <w:rsids>
    <w:rsidRoot w:val="004C4CD4"/>
    <w:rsid w:val="000C60E9"/>
    <w:rsid w:val="00482E91"/>
    <w:rsid w:val="004C4CD4"/>
    <w:rsid w:val="008D7230"/>
    <w:rsid w:val="00D772E7"/>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0E9"/>
  </w:style>
  <w:style w:type="paragraph" w:styleId="Heading1">
    <w:name w:val="heading 1"/>
    <w:qFormat/>
    <w:rsid w:val="004C4CD4"/>
    <w:pPr>
      <w:outlineLvl w:val="0"/>
    </w:pPr>
    <w:rPr>
      <w:color w:val="2E74B5"/>
      <w:sz w:val="32"/>
      <w:szCs w:val="32"/>
    </w:rPr>
  </w:style>
  <w:style w:type="paragraph" w:styleId="Heading2">
    <w:name w:val="heading 2"/>
    <w:qFormat/>
    <w:rsid w:val="004C4CD4"/>
    <w:pPr>
      <w:outlineLvl w:val="1"/>
    </w:pPr>
    <w:rPr>
      <w:color w:val="2E74B5"/>
      <w:sz w:val="26"/>
      <w:szCs w:val="26"/>
    </w:rPr>
  </w:style>
  <w:style w:type="paragraph" w:styleId="Heading3">
    <w:name w:val="heading 3"/>
    <w:qFormat/>
    <w:rsid w:val="004C4CD4"/>
    <w:pPr>
      <w:outlineLvl w:val="2"/>
    </w:pPr>
    <w:rPr>
      <w:color w:val="1F4D78"/>
      <w:sz w:val="24"/>
      <w:szCs w:val="24"/>
    </w:rPr>
  </w:style>
  <w:style w:type="paragraph" w:styleId="Heading4">
    <w:name w:val="heading 4"/>
    <w:qFormat/>
    <w:rsid w:val="004C4CD4"/>
    <w:pPr>
      <w:outlineLvl w:val="3"/>
    </w:pPr>
    <w:rPr>
      <w:i/>
      <w:iCs/>
      <w:color w:val="2E74B5"/>
    </w:rPr>
  </w:style>
  <w:style w:type="paragraph" w:styleId="Heading5">
    <w:name w:val="heading 5"/>
    <w:qFormat/>
    <w:rsid w:val="004C4CD4"/>
    <w:pPr>
      <w:outlineLvl w:val="4"/>
    </w:pPr>
    <w:rPr>
      <w:color w:val="2E74B5"/>
    </w:rPr>
  </w:style>
  <w:style w:type="paragraph" w:styleId="Heading6">
    <w:name w:val="heading 6"/>
    <w:qFormat/>
    <w:rsid w:val="004C4CD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4C4CD4"/>
    <w:rPr>
      <w:sz w:val="56"/>
      <w:szCs w:val="56"/>
    </w:rPr>
  </w:style>
  <w:style w:type="paragraph" w:customStyle="1" w:styleId="Strong1">
    <w:name w:val="Strong1"/>
    <w:qFormat/>
    <w:rsid w:val="004C4CD4"/>
    <w:rPr>
      <w:b/>
      <w:bCs/>
    </w:rPr>
  </w:style>
  <w:style w:type="paragraph" w:styleId="ListParagraph">
    <w:name w:val="List Paragraph"/>
    <w:qFormat/>
    <w:rsid w:val="004C4CD4"/>
  </w:style>
  <w:style w:type="character" w:styleId="Hyperlink">
    <w:name w:val="Hyperlink"/>
    <w:uiPriority w:val="99"/>
    <w:unhideWhenUsed/>
    <w:rsid w:val="004C4CD4"/>
    <w:rPr>
      <w:color w:val="0563C1"/>
      <w:u w:val="single"/>
    </w:rPr>
  </w:style>
  <w:style w:type="character" w:styleId="FootnoteReference">
    <w:name w:val="footnote reference"/>
    <w:uiPriority w:val="99"/>
    <w:semiHidden/>
    <w:unhideWhenUsed/>
    <w:rsid w:val="004C4CD4"/>
    <w:rPr>
      <w:vertAlign w:val="superscript"/>
    </w:rPr>
  </w:style>
  <w:style w:type="paragraph" w:styleId="FootnoteText">
    <w:name w:val="footnote text"/>
    <w:link w:val="FootnoteTextChar"/>
    <w:uiPriority w:val="99"/>
    <w:semiHidden/>
    <w:unhideWhenUsed/>
    <w:rsid w:val="004C4CD4"/>
  </w:style>
  <w:style w:type="character" w:customStyle="1" w:styleId="FootnoteTextChar">
    <w:name w:val="Footnote Text Char"/>
    <w:link w:val="FootnoteText"/>
    <w:uiPriority w:val="99"/>
    <w:semiHidden/>
    <w:unhideWhenUsed/>
    <w:rsid w:val="004C4CD4"/>
    <w:rPr>
      <w:sz w:val="20"/>
      <w:szCs w:val="20"/>
    </w:rPr>
  </w:style>
  <w:style w:type="character" w:styleId="EndnoteReference">
    <w:name w:val="endnote reference"/>
    <w:uiPriority w:val="99"/>
    <w:semiHidden/>
    <w:unhideWhenUsed/>
    <w:rsid w:val="004C4CD4"/>
    <w:rPr>
      <w:vertAlign w:val="superscript"/>
    </w:rPr>
  </w:style>
  <w:style w:type="paragraph" w:styleId="EndnoteText">
    <w:name w:val="endnote text"/>
    <w:link w:val="EndnoteTextChar"/>
    <w:uiPriority w:val="99"/>
    <w:semiHidden/>
    <w:unhideWhenUsed/>
    <w:rsid w:val="004C4CD4"/>
  </w:style>
  <w:style w:type="character" w:customStyle="1" w:styleId="EndnoteTextChar">
    <w:name w:val="Endnote Text Char"/>
    <w:link w:val="EndnoteText"/>
    <w:uiPriority w:val="99"/>
    <w:semiHidden/>
    <w:unhideWhenUsed/>
    <w:rsid w:val="004C4CD4"/>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836</Words>
  <Characters>5267</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Micho</cp:lastModifiedBy>
  <cp:revision>3</cp:revision>
  <dcterms:created xsi:type="dcterms:W3CDTF">2026-08-17T15:00:00Z</dcterms:created>
  <dcterms:modified xsi:type="dcterms:W3CDTF">2026-08-17T19:53:00Z</dcterms:modified>
</cp:coreProperties>
</file>