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生产环境三轮功能测试内容如下：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一、确权接口-15个必填参数，41个非必填参数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      参数合法性校验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      1、必填参数内容及长度的合法性校验（http/https共184条测试用例-全部通过）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      2、20种文件类型识别校验 （http/https共40条测试用例-全部通过）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      3、大文件传入校验 （http/https共24条测试用例-全部通过）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  参数非法性校验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          1、参数缺少 （http/https共112条测试报告-全部通过）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          2、参数值为空 （http/https共112条测试报告-全部通过）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          3、参数值为空格（http/https共112条测试报告-全部通过）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          4、参数值为特殊字符（仅针对禁止使用的三个参数进行校验-http/https共45条测试报告-全部通过）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               5、参数值最大长度超过1个字符（http/https共102条测试报告-全部通过）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               6、参数值类型错误（http/https共72条测试报告-全部通过）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二、下载接口-4个必填参数(http/https共58条-全部通过），测试内容如下：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1、参数值内容及长度的合法性校验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2、参数值内容及长度非法性校验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3、参数缺少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4、参数值为空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5、参数值为空格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三 、PDF证书与二维码落地页页面校验-（27条测试用例-26条通过，1条未通过）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            注：1条未通过已确认本版遗留，下一版本解决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生产环境三轮功能测试遗留问题一个，如下：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      1、PDF证书携带附件.tee文件解压后在ubuntu系统下文件名中文显示乱码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姚体_GBK" w:hAnsi="方正姚体_GBK" w:eastAsia="方正姚体_GBK" w:cs="方正姚体_GBK"/>
          <w:sz w:val="21"/>
          <w:szCs w:val="21"/>
        </w:rPr>
      </w:pPr>
      <w:r>
        <w:rPr>
          <w:rFonts w:hint="eastAsia" w:ascii="方正姚体_GBK" w:hAnsi="方正姚体_GBK" w:eastAsia="方正姚体_GBK" w:cs="方正姚体_GBK"/>
          <w:kern w:val="0"/>
          <w:sz w:val="21"/>
          <w:szCs w:val="21"/>
          <w:lang w:val="en-US" w:eastAsia="zh-CN" w:bidi="ar"/>
        </w:rPr>
        <w:t>            注：文件内容可正常显示，mac系统与windows系统下中文文件名可正确显示</w:t>
      </w:r>
    </w:p>
    <w:p>
      <w:pPr>
        <w:rPr>
          <w:rFonts w:hint="eastAsia" w:ascii="方正姚体_GBK" w:hAnsi="方正姚体_GBK" w:eastAsia="方正姚体_GBK" w:cs="方正姚体_GBK"/>
          <w:sz w:val="21"/>
          <w:szCs w:val="21"/>
        </w:rPr>
      </w:pPr>
    </w:p>
    <w:sectPr>
      <w:pgSz w:w="11906" w:h="16838"/>
      <w:pgMar w:top="1440" w:right="896" w:bottom="1440" w:left="89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FDA15E"/>
    <w:rsid w:val="7DE8C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ma</cp:lastModifiedBy>
  <dcterms:modified xsi:type="dcterms:W3CDTF">2019-08-30T16:47:22Z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