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C052C" w14:textId="77777777" w:rsidR="00302A8F" w:rsidRDefault="00516775">
      <w:pPr>
        <w:pStyle w:val="Heading1"/>
        <w:jc w:val="center"/>
      </w:pPr>
      <w:r>
        <w:t>Thesis Proposal</w:t>
      </w:r>
    </w:p>
    <w:p w14:paraId="779F5301" w14:textId="77777777" w:rsidR="00302A8F" w:rsidRDefault="00516775">
      <w:pPr>
        <w:jc w:val="center"/>
      </w:pPr>
      <w:r>
        <w:t>Modern Yield Curve Modeling with Dynamic Macroeconomic Factors:</w:t>
      </w:r>
      <w:r>
        <w:br/>
        <w:t>An Econometric Extension Benchmarked Against Hull-White Stochastic Methods</w:t>
      </w:r>
    </w:p>
    <w:p w14:paraId="36404E77" w14:textId="77777777" w:rsidR="00302A8F" w:rsidRDefault="00516775">
      <w:pPr>
        <w:pStyle w:val="Heading2"/>
      </w:pPr>
      <w:r>
        <w:t>1. Research Motivation &amp; Background</w:t>
      </w:r>
    </w:p>
    <w:p w14:paraId="5C0F03DF" w14:textId="77777777" w:rsidR="00302A8F" w:rsidRDefault="00516775">
      <w:r>
        <w:t xml:space="preserve">The modeling of yield and interest rate curves remains </w:t>
      </w:r>
      <w:r>
        <w:t>central to asset pricing, monetary policy, and risk management. Traditional frameworks such as the Nelson–Siegel family and the Hull–White stochastic short-rate model provide robust foundations for yield curve fitting and simulation. However, recent resear</w:t>
      </w:r>
      <w:r>
        <w:t>ch highlights the limitations of purely market-based or static models in capturing macro-financial dynamics. This thesis seeks to bridge econometric yield curve modeling and stochastic interest rate modeling by incorporating time-varying macroeconomic fact</w:t>
      </w:r>
      <w:r>
        <w:t>ors (GDP growth, inflation, policy rates, equity indices, and exchange rates) into the yield curve estimation process, and benchmarking their explanatory and forecasting power against the Hull–White model.</w:t>
      </w:r>
    </w:p>
    <w:p w14:paraId="47145748" w14:textId="77777777" w:rsidR="00302A8F" w:rsidRDefault="00516775">
      <w:pPr>
        <w:pStyle w:val="Heading2"/>
      </w:pPr>
      <w:r>
        <w:t>2. Research Objectives</w:t>
      </w:r>
    </w:p>
    <w:p w14:paraId="726533C1" w14:textId="77777777" w:rsidR="00302A8F" w:rsidRDefault="00516775">
      <w:r>
        <w:rPr>
          <w:b/>
        </w:rPr>
        <w:t xml:space="preserve">1. </w:t>
      </w:r>
      <w:r>
        <w:t xml:space="preserve">To extend the classical </w:t>
      </w:r>
      <w:r>
        <w:t>Nelson–Siegel yield curve model by integrating dynamic macroeconomic variables and potential regime-switching behavior.</w:t>
      </w:r>
      <w:r>
        <w:br/>
      </w:r>
      <w:r>
        <w:rPr>
          <w:b/>
        </w:rPr>
        <w:t xml:space="preserve">2. </w:t>
      </w:r>
      <w:r>
        <w:t>To calibrate and simulate the Hull–White one-factor stochastic model as a benchmark for yield dynamics.</w:t>
      </w:r>
      <w:r>
        <w:br/>
      </w:r>
      <w:r>
        <w:rPr>
          <w:b/>
        </w:rPr>
        <w:t xml:space="preserve">3. </w:t>
      </w:r>
      <w:r>
        <w:t>To compare both approaches</w:t>
      </w:r>
      <w:r>
        <w:t xml:space="preserve"> in terms of:</w:t>
      </w:r>
      <w:r>
        <w:br/>
        <w:t xml:space="preserve">   - In-sample fit to observed yield curves</w:t>
      </w:r>
      <w:r>
        <w:br/>
        <w:t xml:space="preserve">   - Out-of-sample forecasting accuracy</w:t>
      </w:r>
      <w:r>
        <w:br/>
        <w:t xml:space="preserve">   - Economic interpretability and response to macro shocks</w:t>
      </w:r>
    </w:p>
    <w:p w14:paraId="2F7F61B5" w14:textId="77777777" w:rsidR="00302A8F" w:rsidRDefault="00516775">
      <w:pPr>
        <w:pStyle w:val="Heading2"/>
      </w:pPr>
      <w:r>
        <w:t>3. Methodology</w:t>
      </w:r>
    </w:p>
    <w:p w14:paraId="44D43A7D" w14:textId="77777777" w:rsidR="00302A8F" w:rsidRDefault="00516775">
      <w:r>
        <w:t>Step 1: Yield Curve Estimation</w:t>
      </w:r>
    </w:p>
    <w:p w14:paraId="1CD4B02B" w14:textId="77777777" w:rsidR="00302A8F" w:rsidRDefault="00516775">
      <w:r>
        <w:t>Fit the Nelson–Siegel–Svensson curve to daily or mon</w:t>
      </w:r>
      <w:r>
        <w:t>thly sovereign bond yield data to extract level, slope, and curvature factors.</w:t>
      </w:r>
    </w:p>
    <w:p w14:paraId="26772489" w14:textId="77777777" w:rsidR="00302A8F" w:rsidRDefault="00516775">
      <w:r>
        <w:t>Step 2: Econometric Extension</w:t>
      </w:r>
    </w:p>
    <w:p w14:paraId="43C1571D" w14:textId="77777777" w:rsidR="00302A8F" w:rsidRDefault="00516775">
      <w:r>
        <w:t>Model the extracted factors using Dynamic Factor Models (DFM) or Vector Autoregression (VAR) with macroeconomic indicators. Explore regime-switchin</w:t>
      </w:r>
      <w:r>
        <w:t>g (Markov-switching VAR) to capture structural shifts in yield curve behavior.</w:t>
      </w:r>
    </w:p>
    <w:p w14:paraId="6B37C7FA" w14:textId="77777777" w:rsidR="00302A8F" w:rsidRDefault="00516775">
      <w:r>
        <w:t>Step 3: Stochastic Benchmark</w:t>
      </w:r>
    </w:p>
    <w:p w14:paraId="55FFB6DB" w14:textId="77777777" w:rsidR="00302A8F" w:rsidRDefault="00516775">
      <w:r>
        <w:t>Calibrate the Hull–White one-factor model to the same yield curve data. Simulate future yield paths under stochastic interest rate dynamics.</w:t>
      </w:r>
    </w:p>
    <w:p w14:paraId="4E16E545" w14:textId="77777777" w:rsidR="00302A8F" w:rsidRDefault="00516775">
      <w:r>
        <w:t>Step 4:</w:t>
      </w:r>
      <w:r>
        <w:t xml:space="preserve"> Comparative Evaluation</w:t>
      </w:r>
    </w:p>
    <w:p w14:paraId="5F666F9E" w14:textId="232AE7BB" w:rsidR="00302A8F" w:rsidRDefault="00516775">
      <w:r>
        <w:lastRenderedPageBreak/>
        <w:t>Compare model performance via RMSE, forecast error metrics, and macro sensitivity analysis. Evaluate economic interpretability and robustness across market regimes.</w:t>
      </w:r>
    </w:p>
    <w:p w14:paraId="4008AC47" w14:textId="1FA25EF2" w:rsidR="00516775" w:rsidRDefault="00516775"/>
    <w:p w14:paraId="33211D3E" w14:textId="186B9743" w:rsidR="00516775" w:rsidRDefault="00516775">
      <w:r>
        <w:rPr>
          <w:noProof/>
        </w:rPr>
        <w:drawing>
          <wp:inline distT="0" distB="0" distL="0" distR="0" wp14:anchorId="7296A09B" wp14:editId="6D477A7B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DB49" w14:textId="77777777" w:rsidR="00302A8F" w:rsidRDefault="00516775">
      <w:pPr>
        <w:pStyle w:val="Heading2"/>
      </w:pPr>
      <w:r>
        <w:t>4. Data Sources</w:t>
      </w:r>
    </w:p>
    <w:p w14:paraId="3BED6606" w14:textId="77777777" w:rsidR="00302A8F" w:rsidRDefault="00516775">
      <w:r>
        <w:t>- Bond yields: U.S. Treasury, European Government B</w:t>
      </w:r>
      <w:r>
        <w:t>onds (Bloomberg, FRED, ECB, BIS, or OECD databases).</w:t>
      </w:r>
      <w:r>
        <w:br/>
        <w:t>- Macroeconomic indicators: GDP growth, CPI/inflation, policy rates, equity indices, and FX rates (IMF, FRED, OECD, World Bank).</w:t>
      </w:r>
      <w:r>
        <w:br/>
        <w:t>- Frequency: monthly or quarterly (to align with macro data).</w:t>
      </w:r>
      <w:r>
        <w:br/>
        <w:t>- Period: at</w:t>
      </w:r>
      <w:r>
        <w:t xml:space="preserve"> least 10–15 years to capture multiple market cycles.</w:t>
      </w:r>
    </w:p>
    <w:p w14:paraId="1D6FBA3D" w14:textId="77777777" w:rsidR="00302A8F" w:rsidRDefault="00516775">
      <w:pPr>
        <w:pStyle w:val="Heading2"/>
      </w:pPr>
      <w:r>
        <w:t>5. Expected Deliverables</w:t>
      </w:r>
    </w:p>
    <w:p w14:paraId="624889A1" w14:textId="77777777" w:rsidR="00302A8F" w:rsidRDefault="00516775">
      <w:r>
        <w:t>- Econometric model integrating macro-financial factors into yield curve dynamics.</w:t>
      </w:r>
      <w:r>
        <w:br/>
        <w:t>- Calibrated Hull–White stochastic rate model for benchmark comparison.</w:t>
      </w:r>
      <w:r>
        <w:br/>
        <w:t>- Quantitative compari</w:t>
      </w:r>
      <w:r>
        <w:t>son of model fit and forecasting accuracy.</w:t>
      </w:r>
      <w:r>
        <w:br/>
        <w:t>- Discussion on implications for monetary policy and financial risk management.</w:t>
      </w:r>
      <w:r>
        <w:br/>
        <w:t>- Fully documented code and reproducible data pipeline (Python/R).</w:t>
      </w:r>
    </w:p>
    <w:p w14:paraId="13D4CCAB" w14:textId="77777777" w:rsidR="00302A8F" w:rsidRDefault="00516775">
      <w:pPr>
        <w:pStyle w:val="Heading2"/>
      </w:pPr>
      <w:r>
        <w:t>6. Expected Contribution</w:t>
      </w:r>
    </w:p>
    <w:p w14:paraId="65BC742A" w14:textId="621F92F1" w:rsidR="00302A8F" w:rsidRDefault="00516775">
      <w:r>
        <w:t>This research aims to modernize yield cur</w:t>
      </w:r>
      <w:r>
        <w:t>ve modeling by fusing econometric and stochastic frameworks. It contributes to the literature by:</w:t>
      </w:r>
      <w:r>
        <w:br/>
        <w:t>- Quantifying the role of macroeconomic factors in explaining yield curve evolution.</w:t>
      </w:r>
      <w:r>
        <w:br/>
      </w:r>
      <w:r>
        <w:lastRenderedPageBreak/>
        <w:t>- Benchmarking traditional short-rate models against macro-augmented econ</w:t>
      </w:r>
      <w:r>
        <w:t>ometric alternatives.</w:t>
      </w:r>
      <w:r>
        <w:br/>
        <w:t>- Providing practical insights for policymakers, risk managers, and quantitative analysts in a post-zero-rate world.</w:t>
      </w:r>
    </w:p>
    <w:p w14:paraId="7055079B" w14:textId="58194341" w:rsidR="00516775" w:rsidRDefault="00516775"/>
    <w:p w14:paraId="5C35EADB" w14:textId="1B7FB006" w:rsidR="00516775" w:rsidRDefault="00516775"/>
    <w:p w14:paraId="5F30D311" w14:textId="6952A904" w:rsidR="00516775" w:rsidRDefault="00516775" w:rsidP="00516775">
      <w:pPr>
        <w:pStyle w:val="NormalWeb"/>
      </w:pPr>
    </w:p>
    <w:p w14:paraId="0C908F34" w14:textId="77777777" w:rsidR="00516775" w:rsidRDefault="00516775"/>
    <w:sectPr w:rsidR="005167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A8F"/>
    <w:rsid w:val="00326F90"/>
    <w:rsid w:val="005167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1A5C55"/>
  <w14:defaultImageDpi w14:val="300"/>
  <w15:docId w15:val="{064570C1-3CF5-48F8-A73C-F6D2F1C52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6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9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Sujith Madesh</cp:lastModifiedBy>
  <cp:revision>2</cp:revision>
  <dcterms:created xsi:type="dcterms:W3CDTF">2013-12-23T23:15:00Z</dcterms:created>
  <dcterms:modified xsi:type="dcterms:W3CDTF">2025-10-26T10:47:00Z</dcterms:modified>
  <cp:category/>
</cp:coreProperties>
</file>