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82A092">
      <w:pPr>
        <w:pStyle w:val="8"/>
        <w:keepNext w:val="0"/>
        <w:keepLines w:val="0"/>
        <w:pageBreakBefore w:val="0"/>
        <w:widowControl w:val="0"/>
        <w:kinsoku/>
        <w:wordWrap/>
        <w:overflowPunct/>
        <w:topLinePunct w:val="0"/>
        <w:autoSpaceDE w:val="0"/>
        <w:autoSpaceDN w:val="0"/>
        <w:bidi w:val="0"/>
        <w:adjustRightInd/>
        <w:snapToGrid/>
        <w:ind w:left="0" w:leftChars="0" w:right="0" w:firstLine="0" w:firstLineChars="0"/>
        <w:jc w:val="center"/>
        <w:textAlignment w:val="auto"/>
        <w:rPr>
          <w:rFonts w:hint="default" w:eastAsia="微软雅黑"/>
          <w:color w:val="000000" w:themeColor="text1"/>
          <w:lang w:val="en-US" w:eastAsia="zh-CN"/>
          <w14:textFill>
            <w14:solidFill>
              <w14:schemeClr w14:val="tx1"/>
            </w14:solidFill>
          </w14:textFill>
        </w:rPr>
      </w:pPr>
      <w:bookmarkStart w:id="0" w:name="开源软件质量分析报告"/>
      <w:bookmarkEnd w:id="0"/>
      <w:r>
        <w:rPr>
          <w:rFonts w:hint="default"/>
          <w:color w:val="000000" w:themeColor="text1"/>
          <w:sz w:val="36"/>
          <w:szCs w:val="20"/>
          <w:lang w:val="en-US" w:eastAsia="zh-CN"/>
          <w14:textFill>
            <w14:solidFill>
              <w14:schemeClr w14:val="tx1"/>
            </w14:solidFill>
          </w14:textFill>
        </w:rPr>
        <w:t>“</w:t>
      </w:r>
      <w:r>
        <w:rPr>
          <w:rFonts w:hint="eastAsia"/>
          <w:color w:val="000000" w:themeColor="text1"/>
          <w:sz w:val="36"/>
          <w:szCs w:val="20"/>
          <w:lang w:val="en-US" w:eastAsia="zh-CN"/>
          <w14:textFill>
            <w14:solidFill>
              <w14:schemeClr w14:val="tx1"/>
            </w14:solidFill>
          </w14:textFill>
        </w:rPr>
        <w:t>电影推荐与影评博客</w:t>
      </w:r>
      <w:r>
        <w:rPr>
          <w:rFonts w:hint="eastAsia"/>
          <w:color w:val="000000" w:themeColor="text1"/>
          <w:sz w:val="36"/>
          <w:szCs w:val="20"/>
          <w14:textFill>
            <w14:solidFill>
              <w14:schemeClr w14:val="tx1"/>
            </w14:solidFill>
          </w14:textFill>
        </w:rPr>
        <w:t>”</w:t>
      </w:r>
      <w:r>
        <w:rPr>
          <w:rFonts w:hint="eastAsia"/>
          <w:color w:val="000000" w:themeColor="text1"/>
          <w:sz w:val="36"/>
          <w:szCs w:val="20"/>
          <w:lang w:val="en-US" w:eastAsia="zh-CN"/>
          <w14:textFill>
            <w14:solidFill>
              <w14:schemeClr w14:val="tx1"/>
            </w14:solidFill>
          </w14:textFill>
        </w:rPr>
        <w:t>开源软件质量分析报告</w:t>
      </w:r>
    </w:p>
    <w:p w14:paraId="207A8C86">
      <w:pPr>
        <w:jc w:val="center"/>
        <w:rPr>
          <w:rFonts w:hint="default" w:eastAsia="宋体"/>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组号：</w:t>
      </w:r>
      <w:r>
        <w:rPr>
          <w:rFonts w:hint="eastAsia"/>
          <w:color w:val="000000" w:themeColor="text1"/>
          <w:lang w:val="en-US" w:eastAsia="zh-CN"/>
          <w14:textFill>
            <w14:solidFill>
              <w14:schemeClr w14:val="tx1"/>
            </w14:solidFill>
          </w14:textFill>
        </w:rPr>
        <w:t>11</w:t>
      </w:r>
    </w:p>
    <w:p w14:paraId="2D56C500">
      <w:pPr>
        <w:pStyle w:val="4"/>
        <w:keepNext w:val="0"/>
        <w:keepLines w:val="0"/>
        <w:pageBreakBefore w:val="0"/>
        <w:widowControl w:val="0"/>
        <w:kinsoku/>
        <w:wordWrap/>
        <w:overflowPunct/>
        <w:topLinePunct w:val="0"/>
        <w:autoSpaceDE w:val="0"/>
        <w:autoSpaceDN w:val="0"/>
        <w:bidi w:val="0"/>
        <w:adjustRightInd/>
        <w:snapToGrid/>
        <w:spacing w:before="99"/>
        <w:ind w:left="0" w:right="0"/>
        <w:jc w:val="center"/>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小组成员：张嘉怡、顾云舒、郑智洋、郭嘉、孙文、袁汝双</w:t>
      </w:r>
    </w:p>
    <w:p w14:paraId="74D0612C">
      <w:pPr>
        <w:pStyle w:val="4"/>
        <w:rPr>
          <w:rFonts w:hint="eastAsia"/>
          <w:color w:val="000000" w:themeColor="text1"/>
          <w14:textFill>
            <w14:solidFill>
              <w14:schemeClr w14:val="tx1"/>
            </w14:solidFill>
          </w14:textFill>
        </w:rPr>
      </w:pPr>
    </w:p>
    <w:p w14:paraId="792CBC75">
      <w:pPr>
        <w:pStyle w:val="4"/>
        <w:rPr>
          <w:rFonts w:hint="eastAsia"/>
          <w:color w:val="000000" w:themeColor="text1"/>
          <w:sz w:val="17"/>
          <w14:textFill>
            <w14:solidFill>
              <w14:schemeClr w14:val="tx1"/>
            </w14:solidFill>
          </w14:textFill>
        </w:rPr>
      </w:pPr>
      <w:bookmarkStart w:id="12" w:name="_GoBack"/>
      <w:bookmarkEnd w:id="12"/>
    </w:p>
    <w:p w14:paraId="4446CEDD">
      <w:pPr>
        <w:pStyle w:val="2"/>
        <w:numPr>
          <w:ilvl w:val="0"/>
          <w:numId w:val="1"/>
        </w:numPr>
        <w:tabs>
          <w:tab w:val="left" w:pos="542"/>
        </w:tabs>
        <w:ind w:hanging="422"/>
        <w:rPr>
          <w:rFonts w:hint="eastAsia"/>
          <w:color w:val="000000" w:themeColor="text1"/>
          <w14:textFill>
            <w14:solidFill>
              <w14:schemeClr w14:val="tx1"/>
            </w14:solidFill>
          </w14:textFill>
        </w:rPr>
      </w:pPr>
      <w:bookmarkStart w:id="1" w:name="1.待分析开源软件概述"/>
      <w:bookmarkEnd w:id="1"/>
      <w:r>
        <w:rPr>
          <w:color w:val="000000" w:themeColor="text1"/>
          <w:spacing w:val="-3"/>
          <w14:textFill>
            <w14:solidFill>
              <w14:schemeClr w14:val="tx1"/>
            </w14:solidFill>
          </w14:textFill>
        </w:rPr>
        <w:t>待分析开源软件概述</w:t>
      </w:r>
    </w:p>
    <w:p w14:paraId="32EFF4B9">
      <w:pPr>
        <w:pStyle w:val="4"/>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本组分析对象为基于Python和Django框架开发的DjangoBlog项目，围绕电影文章发布、分类与标签、用户注册登录、评论交互、第三方OAuth授权、服务器与机器人服务及站点核心配置等功能开展源码阅读和质量改进。项目包含六个本次分工模块：blog、accounts、comments、oauth、servermanager、djangoblog。</w:t>
      </w:r>
    </w:p>
    <w:p w14:paraId="00034837">
      <w:pPr>
        <w:pStyle w:val="4"/>
        <w:rPr>
          <w:rFonts w:hint="eastAsia" w:ascii="Times New Roman" w:eastAsia="Times New Roman"/>
          <w:color w:val="000000" w:themeColor="text1"/>
          <w:spacing w:val="-2"/>
          <w14:textFill>
            <w14:solidFill>
              <w14:schemeClr w14:val="tx1"/>
            </w14:solidFill>
          </w14:textFill>
        </w:rPr>
      </w:pPr>
    </w:p>
    <w:p w14:paraId="5F14CC62">
      <w:pPr>
        <w:pStyle w:val="4"/>
        <w:rPr>
          <w:rFonts w:hint="eastAsia"/>
          <w:color w:val="000000" w:themeColor="text1"/>
          <w:sz w:val="26"/>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系统采用Django应用模块划分职责：数据模型组织业务数据，视图处理请求与响应，urls配置路由，部分模块配置缓存、搜索、信号机制与第三方平台调用。涉及源码规模较大，资料包没有提供六模块统一口径的代码总行数、类数和包数，因此本报告不虚构全项目规模指标；已核实djangoblog个人注释材料含23个源文件。</w:t>
      </w:r>
    </w:p>
    <w:p w14:paraId="3BF1C536">
      <w:pPr>
        <w:pStyle w:val="4"/>
        <w:rPr>
          <w:rFonts w:hint="eastAsia"/>
          <w:color w:val="000000" w:themeColor="text1"/>
          <w:sz w:val="22"/>
          <w14:textFill>
            <w14:solidFill>
              <w14:schemeClr w14:val="tx1"/>
            </w14:solidFill>
          </w14:textFill>
        </w:rPr>
      </w:pPr>
    </w:p>
    <w:p w14:paraId="45277AE3">
      <w:pPr>
        <w:pStyle w:val="2"/>
        <w:numPr>
          <w:ilvl w:val="0"/>
          <w:numId w:val="1"/>
        </w:numPr>
        <w:tabs>
          <w:tab w:val="left" w:pos="542"/>
        </w:tabs>
        <w:ind w:hanging="422"/>
        <w:rPr>
          <w:rFonts w:hint="eastAsia"/>
          <w:color w:val="000000" w:themeColor="text1"/>
          <w14:textFill>
            <w14:solidFill>
              <w14:schemeClr w14:val="tx1"/>
            </w14:solidFill>
          </w14:textFill>
        </w:rPr>
      </w:pPr>
      <w:bookmarkStart w:id="2" w:name="2.软件质量分析方法及工具"/>
      <w:bookmarkEnd w:id="2"/>
      <w:r>
        <w:rPr>
          <w:color w:val="000000" w:themeColor="text1"/>
          <w:spacing w:val="-3"/>
          <w14:textFill>
            <w14:solidFill>
              <w14:schemeClr w14:val="tx1"/>
            </w14:solidFill>
          </w14:textFill>
        </w:rPr>
        <w:t>软件质量分析方法及工具</w:t>
      </w:r>
    </w:p>
    <w:p w14:paraId="16A2413E">
      <w:pPr>
        <w:pStyle w:val="13"/>
        <w:numPr>
          <w:ilvl w:val="1"/>
          <w:numId w:val="1"/>
        </w:numPr>
        <w:tabs>
          <w:tab w:val="left" w:pos="602"/>
        </w:tabs>
        <w:spacing w:before="215"/>
        <w:ind w:hanging="482"/>
        <w:rPr>
          <w:rFonts w:hint="eastAsia"/>
          <w:color w:val="000000" w:themeColor="text1"/>
          <w:sz w:val="24"/>
          <w14:textFill>
            <w14:solidFill>
              <w14:schemeClr w14:val="tx1"/>
            </w14:solidFill>
          </w14:textFill>
        </w:rPr>
      </w:pPr>
      <w:bookmarkStart w:id="3" w:name="2.1_分析的软件质量要素"/>
      <w:bookmarkEnd w:id="3"/>
      <w:r>
        <w:rPr>
          <w:color w:val="000000" w:themeColor="text1"/>
          <w:spacing w:val="-2"/>
          <w:sz w:val="24"/>
          <w14:textFill>
            <w14:solidFill>
              <w14:schemeClr w14:val="tx1"/>
            </w14:solidFill>
          </w14:textFill>
        </w:rPr>
        <w:t>分析的软件质量要素</w:t>
      </w:r>
    </w:p>
    <w:p w14:paraId="43318B68">
      <w:pPr>
        <w:pStyle w:val="4"/>
        <w:spacing w:before="1"/>
        <w:rPr>
          <w:rFonts w:hint="eastAsia"/>
          <w:color w:val="000000" w:themeColor="text1"/>
          <w:sz w:val="25"/>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内部质量：代码命名、缩进排版、导入组织、必要注释、模块职责划分、可读性和可维护性。外部质量与运行可靠性：异常处理、输入参数校验、缓存及数据库访问效率、安全配置和测试可执行性。关注缺陷风险，不将静态风格告警等同于运行故障。</w:t>
      </w:r>
    </w:p>
    <w:p w14:paraId="5EBDEAF2">
      <w:pPr>
        <w:pStyle w:val="13"/>
        <w:numPr>
          <w:ilvl w:val="1"/>
          <w:numId w:val="1"/>
        </w:numPr>
        <w:tabs>
          <w:tab w:val="left" w:pos="602"/>
        </w:tabs>
        <w:spacing w:before="1"/>
        <w:ind w:hanging="482"/>
        <w:jc w:val="both"/>
        <w:rPr>
          <w:rFonts w:hint="eastAsia"/>
          <w:color w:val="000000" w:themeColor="text1"/>
          <w:sz w:val="24"/>
          <w14:textFill>
            <w14:solidFill>
              <w14:schemeClr w14:val="tx1"/>
            </w14:solidFill>
          </w14:textFill>
        </w:rPr>
      </w:pPr>
      <w:bookmarkStart w:id="4" w:name="2.2_软件质量分析方法"/>
      <w:bookmarkEnd w:id="4"/>
      <w:r>
        <w:rPr>
          <w:color w:val="000000" w:themeColor="text1"/>
          <w:spacing w:val="-2"/>
          <w:sz w:val="24"/>
          <w14:textFill>
            <w14:solidFill>
              <w14:schemeClr w14:val="tx1"/>
            </w14:solidFill>
          </w14:textFill>
        </w:rPr>
        <w:t>软件质量分析方法</w:t>
      </w:r>
    </w:p>
    <w:p w14:paraId="7A470611">
      <w:pPr>
        <w:pStyle w:val="4"/>
        <w:spacing w:before="10"/>
        <w:rPr>
          <w:rFonts w:hint="eastAsia" w:ascii="Times New Roman"/>
          <w:color w:val="000000" w:themeColor="text1"/>
          <w:sz w:val="27"/>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内部质量：代码命名、缩进排版、导入组织、必要注释、模块职责划分、可读性和可维护性。外部质量与运行可靠性：异常处理、输入参数校验、缓存及数据库访问效率、安全配置和测试可执行性。关注缺陷风险，不将静态风格告警等同于运行故障。</w:t>
      </w:r>
    </w:p>
    <w:p w14:paraId="11C0C2C6">
      <w:pPr>
        <w:pStyle w:val="13"/>
        <w:numPr>
          <w:ilvl w:val="1"/>
          <w:numId w:val="1"/>
        </w:numPr>
        <w:tabs>
          <w:tab w:val="left" w:pos="542"/>
        </w:tabs>
        <w:ind w:left="542" w:hanging="422"/>
        <w:jc w:val="both"/>
        <w:rPr>
          <w:rFonts w:hint="eastAsia"/>
          <w:color w:val="000000" w:themeColor="text1"/>
          <w:sz w:val="24"/>
          <w14:textFill>
            <w14:solidFill>
              <w14:schemeClr w14:val="tx1"/>
            </w14:solidFill>
          </w14:textFill>
        </w:rPr>
      </w:pPr>
      <w:bookmarkStart w:id="5" w:name="2.3软件质量分析工具"/>
      <w:bookmarkEnd w:id="5"/>
      <w:r>
        <w:rPr>
          <w:color w:val="000000" w:themeColor="text1"/>
          <w:spacing w:val="-2"/>
          <w:sz w:val="24"/>
          <w14:textFill>
            <w14:solidFill>
              <w14:schemeClr w14:val="tx1"/>
            </w14:solidFill>
          </w14:textFill>
        </w:rPr>
        <w:t>软件质量分析工具</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962"/>
        <w:gridCol w:w="2962"/>
        <w:gridCol w:w="2962"/>
      </w:tblGrid>
      <w:tr w14:paraId="4DAA2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62" w:type="dxa"/>
          </w:tcPr>
          <w:p w14:paraId="41F0B3A9">
            <w:pPr>
              <w:pStyle w:val="4"/>
              <w:spacing w:before="10"/>
              <w:rPr>
                <w:rFonts w:hint="eastAsia" w:ascii="Times New Roman" w:eastAsia="Times New Roman"/>
                <w:color w:val="000000" w:themeColor="text1"/>
                <w:spacing w:val="-2"/>
                <w:lang w:val="en-US" w:eastAsia="zh-CN"/>
                <w14:textFill>
                  <w14:solidFill>
                    <w14:schemeClr w14:val="tx1"/>
                  </w14:solidFill>
                </w14:textFill>
              </w:rPr>
            </w:pPr>
            <w:r>
              <w:rPr>
                <w:rFonts w:hint="eastAsia" w:ascii="Times New Roman" w:eastAsia="Times New Roman"/>
                <w:color w:val="000000" w:themeColor="text1"/>
                <w:spacing w:val="-2"/>
                <w:lang w:val="en-US" w:eastAsia="zh-CN"/>
                <w14:textFill>
                  <w14:solidFill>
                    <w14:schemeClr w14:val="tx1"/>
                  </w14:solidFill>
                </w14:textFill>
              </w:rPr>
              <w:t>工具</w:t>
            </w:r>
          </w:p>
        </w:tc>
        <w:tc>
          <w:tcPr>
            <w:tcW w:w="2962" w:type="dxa"/>
          </w:tcPr>
          <w:p w14:paraId="56EE9D44">
            <w:pPr>
              <w:pStyle w:val="4"/>
              <w:spacing w:before="10"/>
              <w:rPr>
                <w:rFonts w:hint="eastAsia" w:ascii="Times New Roman" w:eastAsia="Times New Roman"/>
                <w:color w:val="000000" w:themeColor="text1"/>
                <w:spacing w:val="-2"/>
                <w:lang w:val="en-US" w:eastAsia="zh-CN"/>
                <w14:textFill>
                  <w14:solidFill>
                    <w14:schemeClr w14:val="tx1"/>
                  </w14:solidFill>
                </w14:textFill>
              </w:rPr>
            </w:pPr>
            <w:r>
              <w:rPr>
                <w:rFonts w:hint="eastAsia" w:ascii="Times New Roman" w:eastAsia="Times New Roman"/>
                <w:color w:val="000000" w:themeColor="text1"/>
                <w:spacing w:val="-2"/>
                <w:lang w:val="en-US" w:eastAsia="zh-CN"/>
                <w14:textFill>
                  <w14:solidFill>
                    <w14:schemeClr w14:val="tx1"/>
                  </w14:solidFill>
                </w14:textFill>
              </w:rPr>
              <w:t>应用范围</w:t>
            </w:r>
          </w:p>
        </w:tc>
        <w:tc>
          <w:tcPr>
            <w:tcW w:w="2962" w:type="dxa"/>
          </w:tcPr>
          <w:p w14:paraId="45CBA233">
            <w:pPr>
              <w:pStyle w:val="4"/>
              <w:spacing w:before="10"/>
              <w:rPr>
                <w:rFonts w:hint="default" w:ascii="Times New Roman" w:eastAsia="Times New Roman"/>
                <w:color w:val="000000" w:themeColor="text1"/>
                <w:spacing w:val="-2"/>
                <w:lang w:val="en-US" w:eastAsia="zh-CN"/>
                <w14:textFill>
                  <w14:solidFill>
                    <w14:schemeClr w14:val="tx1"/>
                  </w14:solidFill>
                </w14:textFill>
              </w:rPr>
            </w:pPr>
            <w:r>
              <w:rPr>
                <w:rFonts w:hint="eastAsia" w:ascii="Times New Roman" w:eastAsia="Times New Roman"/>
                <w:color w:val="000000" w:themeColor="text1"/>
                <w:spacing w:val="-2"/>
                <w:lang w:val="en-US" w:eastAsia="zh-CN"/>
                <w14:textFill>
                  <w14:solidFill>
                    <w14:schemeClr w14:val="tx1"/>
                  </w14:solidFill>
                </w14:textFill>
              </w:rPr>
              <w:t>检查内容及限制</w:t>
            </w:r>
          </w:p>
        </w:tc>
      </w:tr>
      <w:tr w14:paraId="67036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62" w:type="dxa"/>
          </w:tcPr>
          <w:p w14:paraId="05A0A554">
            <w:pPr>
              <w:pStyle w:val="4"/>
              <w:spacing w:before="10"/>
              <w:rPr>
                <w:rFonts w:hint="default" w:ascii="Times New Roman" w:eastAsia="Times New Roman"/>
                <w:color w:val="000000" w:themeColor="text1"/>
                <w:spacing w:val="-2"/>
                <w:lang w:val="en-US" w:eastAsia="zh-CN"/>
                <w14:textFill>
                  <w14:solidFill>
                    <w14:schemeClr w14:val="tx1"/>
                  </w14:solidFill>
                </w14:textFill>
              </w:rPr>
            </w:pPr>
            <w:r>
              <w:rPr>
                <w:rFonts w:hint="eastAsia" w:ascii="Times New Roman" w:eastAsia="Times New Roman"/>
                <w:color w:val="000000" w:themeColor="text1"/>
                <w:spacing w:val="-2"/>
                <w:lang w:val="en-US" w:eastAsia="zh-CN"/>
                <w14:textFill>
                  <w14:solidFill>
                    <w14:schemeClr w14:val="tx1"/>
                  </w14:solidFill>
                </w14:textFill>
              </w:rPr>
              <w:t>Ruff</w:t>
            </w:r>
          </w:p>
        </w:tc>
        <w:tc>
          <w:tcPr>
            <w:tcW w:w="2962" w:type="dxa"/>
          </w:tcPr>
          <w:p w14:paraId="16B2AEAF">
            <w:pPr>
              <w:pStyle w:val="4"/>
              <w:spacing w:before="10"/>
              <w:rPr>
                <w:rFonts w:hint="eastAsia" w:ascii="Times New Roman" w:eastAsia="Times New Roman"/>
                <w:color w:val="000000" w:themeColor="text1"/>
                <w:spacing w:val="-2"/>
                <w:lang w:val="en-US" w:eastAsia="zh-CN"/>
                <w14:textFill>
                  <w14:solidFill>
                    <w14:schemeClr w14:val="tx1"/>
                  </w14:solidFill>
                </w14:textFill>
              </w:rPr>
            </w:pPr>
            <w:r>
              <w:rPr>
                <w:rFonts w:hint="eastAsia" w:ascii="Times New Roman" w:eastAsia="Times New Roman"/>
                <w:color w:val="000000" w:themeColor="text1"/>
                <w:spacing w:val="-2"/>
                <w:lang w:val="en-US" w:eastAsia="zh-CN"/>
                <w14:textFill>
                  <w14:solidFill>
                    <w14:schemeClr w14:val="tx1"/>
                  </w14:solidFill>
                </w14:textFill>
              </w:rPr>
              <w:t>Djangoblog</w:t>
            </w:r>
          </w:p>
        </w:tc>
        <w:tc>
          <w:tcPr>
            <w:tcW w:w="2962" w:type="dxa"/>
          </w:tcPr>
          <w:p w14:paraId="12DB5158">
            <w:pPr>
              <w:pStyle w:val="4"/>
              <w:spacing w:before="10"/>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导入顺序、未使用变量、日志调用、异常捕获、字符串表达式、Python兼容写法等；输出为规则命中，不直接代表功能故障</w:t>
            </w:r>
          </w:p>
        </w:tc>
      </w:tr>
      <w:tr w14:paraId="6159B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62" w:type="dxa"/>
          </w:tcPr>
          <w:p w14:paraId="05AF70B1">
            <w:pPr>
              <w:pStyle w:val="4"/>
              <w:spacing w:before="10"/>
              <w:rPr>
                <w:rFonts w:hint="default" w:ascii="Times New Roman" w:eastAsia="Times New Roman"/>
                <w:color w:val="000000" w:themeColor="text1"/>
                <w:spacing w:val="-2"/>
                <w:lang w:val="en-US" w:eastAsia="zh-CN"/>
                <w14:textFill>
                  <w14:solidFill>
                    <w14:schemeClr w14:val="tx1"/>
                  </w14:solidFill>
                </w14:textFill>
              </w:rPr>
            </w:pPr>
            <w:r>
              <w:rPr>
                <w:rFonts w:hint="eastAsia" w:ascii="Times New Roman" w:eastAsia="Times New Roman"/>
                <w:color w:val="000000" w:themeColor="text1"/>
                <w:spacing w:val="-2"/>
                <w:lang w:val="en-US" w:eastAsia="zh-CN"/>
                <w14:textFill>
                  <w14:solidFill>
                    <w14:schemeClr w14:val="tx1"/>
                  </w14:solidFill>
                </w14:textFill>
              </w:rPr>
              <w:t>Flake8</w:t>
            </w:r>
          </w:p>
        </w:tc>
        <w:tc>
          <w:tcPr>
            <w:tcW w:w="2962" w:type="dxa"/>
          </w:tcPr>
          <w:p w14:paraId="2E2A5BD9">
            <w:pPr>
              <w:pStyle w:val="4"/>
              <w:spacing w:before="10"/>
              <w:rPr>
                <w:rFonts w:hint="default" w:ascii="Times New Roman" w:eastAsia="Times New Roman"/>
                <w:color w:val="000000" w:themeColor="text1"/>
                <w:spacing w:val="-2"/>
                <w:lang w:val="en-US" w:eastAsia="zh-CN"/>
                <w14:textFill>
                  <w14:solidFill>
                    <w14:schemeClr w14:val="tx1"/>
                  </w14:solidFill>
                </w14:textFill>
              </w:rPr>
            </w:pPr>
            <w:r>
              <w:rPr>
                <w:rFonts w:hint="eastAsia" w:ascii="Times New Roman" w:eastAsia="Times New Roman"/>
                <w:color w:val="000000" w:themeColor="text1"/>
                <w:spacing w:val="-2"/>
                <w:lang w:val="en-US" w:eastAsia="zh-CN"/>
                <w14:textFill>
                  <w14:solidFill>
                    <w14:schemeClr w14:val="tx1"/>
                  </w14:solidFill>
                </w14:textFill>
              </w:rPr>
              <w:t>comments、accounts、oauth</w:t>
            </w:r>
          </w:p>
        </w:tc>
        <w:tc>
          <w:tcPr>
            <w:tcW w:w="2962" w:type="dxa"/>
          </w:tcPr>
          <w:p w14:paraId="17A7551D">
            <w:pPr>
              <w:pStyle w:val="4"/>
              <w:spacing w:before="10"/>
              <w:rPr>
                <w:rFonts w:hint="eastAsia" w:ascii="Times New Roman" w:eastAsia="Times New Roman"/>
                <w:color w:val="000000" w:themeColor="text1"/>
                <w:spacing w:val="-2"/>
                <w:lang w:val="en-US" w:eastAsia="zh-CN"/>
                <w14:textFill>
                  <w14:solidFill>
                    <w14:schemeClr w14:val="tx1"/>
                  </w14:solidFill>
                </w14:textFill>
              </w:rPr>
            </w:pPr>
            <w:r>
              <w:rPr>
                <w:rFonts w:hint="eastAsia" w:ascii="Times New Roman" w:eastAsia="Times New Roman"/>
                <w:color w:val="000000" w:themeColor="text1"/>
                <w:spacing w:val="-2"/>
                <w:lang w:val="en-US" w:eastAsia="zh-CN"/>
                <w14:textFill>
                  <w14:solidFill>
                    <w14:schemeClr w14:val="tx1"/>
                  </w14:solidFill>
                </w14:textFill>
              </w:rPr>
              <w:t>PEP 8类排版与部分静态告警，如E501、F401、F841、W291；不同扫描范围及设置不能直接累加比较</w:t>
            </w:r>
          </w:p>
        </w:tc>
      </w:tr>
      <w:tr w14:paraId="13CE8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62" w:type="dxa"/>
          </w:tcPr>
          <w:p w14:paraId="65B67273">
            <w:pPr>
              <w:pStyle w:val="4"/>
              <w:spacing w:before="10"/>
              <w:rPr>
                <w:rFonts w:hint="default" w:ascii="Times New Roman" w:eastAsia="Times New Roman"/>
                <w:color w:val="000000" w:themeColor="text1"/>
                <w:spacing w:val="-2"/>
                <w:lang w:val="en-US" w:eastAsia="zh-CN"/>
                <w14:textFill>
                  <w14:solidFill>
                    <w14:schemeClr w14:val="tx1"/>
                  </w14:solidFill>
                </w14:textFill>
              </w:rPr>
            </w:pPr>
            <w:r>
              <w:rPr>
                <w:rFonts w:hint="eastAsia" w:ascii="Times New Roman" w:eastAsia="Times New Roman"/>
                <w:color w:val="000000" w:themeColor="text1"/>
                <w:spacing w:val="-2"/>
                <w:lang w:val="en-US" w:eastAsia="zh-CN"/>
                <w14:textFill>
                  <w14:solidFill>
                    <w14:schemeClr w14:val="tx1"/>
                  </w14:solidFill>
                </w14:textFill>
              </w:rPr>
              <w:t>Pycharm Cado</w:t>
            </w:r>
          </w:p>
        </w:tc>
        <w:tc>
          <w:tcPr>
            <w:tcW w:w="2962" w:type="dxa"/>
          </w:tcPr>
          <w:p w14:paraId="3DC0C57B">
            <w:pPr>
              <w:pStyle w:val="4"/>
              <w:spacing w:before="10"/>
              <w:rPr>
                <w:rFonts w:hint="eastAsia" w:ascii="Times New Roman" w:eastAsia="Times New Roman"/>
                <w:color w:val="000000" w:themeColor="text1"/>
                <w:spacing w:val="-2"/>
                <w:lang w:val="en-US" w:eastAsia="zh-CN"/>
                <w14:textFill>
                  <w14:solidFill>
                    <w14:schemeClr w14:val="tx1"/>
                  </w14:solidFill>
                </w14:textFill>
              </w:rPr>
            </w:pPr>
            <w:r>
              <w:rPr>
                <w:rFonts w:hint="eastAsia" w:ascii="Times New Roman" w:eastAsia="Times New Roman"/>
                <w:color w:val="000000" w:themeColor="text1"/>
                <w:spacing w:val="-2"/>
                <w:lang w:val="en-US" w:eastAsia="zh-CN"/>
                <w14:textFill>
                  <w14:solidFill>
                    <w14:schemeClr w14:val="tx1"/>
                  </w14:solidFill>
                </w14:textFill>
              </w:rPr>
              <w:t>blog</w:t>
            </w:r>
          </w:p>
        </w:tc>
        <w:tc>
          <w:tcPr>
            <w:tcW w:w="2962" w:type="dxa"/>
          </w:tcPr>
          <w:p w14:paraId="06C8BCD1">
            <w:pPr>
              <w:pStyle w:val="4"/>
              <w:spacing w:before="10"/>
              <w:rPr>
                <w:rFonts w:hint="eastAsia" w:ascii="Times New Roman" w:eastAsia="Times New Roman"/>
                <w:color w:val="000000" w:themeColor="text1"/>
                <w:spacing w:val="-2"/>
                <w:lang w:val="en-US" w:eastAsia="zh-CN"/>
                <w14:textFill>
                  <w14:solidFill>
                    <w14:schemeClr w14:val="tx1"/>
                  </w14:solidFill>
                </w14:textFill>
              </w:rPr>
            </w:pPr>
            <w:r>
              <w:rPr>
                <w:rFonts w:hint="eastAsia" w:ascii="Times New Roman" w:eastAsia="Times New Roman"/>
                <w:color w:val="000000" w:themeColor="text1"/>
                <w:spacing w:val="-2"/>
                <w:lang w:val="en-US" w:eastAsia="zh-CN"/>
                <w14:textFill>
                  <w14:solidFill>
                    <w14:schemeClr w14:val="tx1"/>
                  </w14:solidFill>
                </w14:textFill>
              </w:rPr>
              <w:t>命名与导入、代码排版等IDE内置静态检查；个人报告未提供可核对的全量计数</w:t>
            </w:r>
          </w:p>
        </w:tc>
      </w:tr>
      <w:tr w14:paraId="55D50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62" w:type="dxa"/>
          </w:tcPr>
          <w:p w14:paraId="39247B84">
            <w:pPr>
              <w:pStyle w:val="4"/>
              <w:spacing w:before="10"/>
              <w:rPr>
                <w:rFonts w:hint="default" w:ascii="Times New Roman" w:eastAsia="Times New Roman"/>
                <w:color w:val="000000" w:themeColor="text1"/>
                <w:spacing w:val="-2"/>
                <w:lang w:val="en-US" w:eastAsia="zh-CN"/>
                <w14:textFill>
                  <w14:solidFill>
                    <w14:schemeClr w14:val="tx1"/>
                  </w14:solidFill>
                </w14:textFill>
              </w:rPr>
            </w:pPr>
            <w:r>
              <w:rPr>
                <w:rFonts w:hint="eastAsia" w:ascii="Times New Roman" w:eastAsia="Times New Roman"/>
                <w:color w:val="000000" w:themeColor="text1"/>
                <w:spacing w:val="-2"/>
                <w:lang w:val="en-US" w:eastAsia="zh-CN"/>
                <w14:textFill>
                  <w14:solidFill>
                    <w14:schemeClr w14:val="tx1"/>
                  </w14:solidFill>
                </w14:textFill>
              </w:rPr>
              <w:t>Pylint</w:t>
            </w:r>
          </w:p>
        </w:tc>
        <w:tc>
          <w:tcPr>
            <w:tcW w:w="2962" w:type="dxa"/>
          </w:tcPr>
          <w:p w14:paraId="6EBE2111">
            <w:pPr>
              <w:pStyle w:val="4"/>
              <w:spacing w:before="10"/>
              <w:rPr>
                <w:rFonts w:hint="eastAsia" w:ascii="Times New Roman" w:eastAsia="Times New Roman"/>
                <w:color w:val="000000" w:themeColor="text1"/>
                <w:spacing w:val="-2"/>
                <w:lang w:val="en-US" w:eastAsia="zh-CN"/>
                <w14:textFill>
                  <w14:solidFill>
                    <w14:schemeClr w14:val="tx1"/>
                  </w14:solidFill>
                </w14:textFill>
              </w:rPr>
            </w:pPr>
            <w:r>
              <w:rPr>
                <w:rFonts w:hint="eastAsia" w:ascii="Times New Roman" w:eastAsia="Times New Roman"/>
                <w:color w:val="000000" w:themeColor="text1"/>
                <w:spacing w:val="-2"/>
                <w:lang w:val="en-US" w:eastAsia="zh-CN"/>
                <w14:textFill>
                  <w14:solidFill>
                    <w14:schemeClr w14:val="tx1"/>
                  </w14:solidFill>
                </w14:textFill>
              </w:rPr>
              <w:t>servermanager</w:t>
            </w:r>
          </w:p>
        </w:tc>
        <w:tc>
          <w:tcPr>
            <w:tcW w:w="2962" w:type="dxa"/>
          </w:tcPr>
          <w:p w14:paraId="0A73FE3D">
            <w:pPr>
              <w:pStyle w:val="4"/>
              <w:spacing w:before="10"/>
              <w:rPr>
                <w:rFonts w:hint="eastAsia" w:ascii="Times New Roman" w:eastAsia="Times New Roman"/>
                <w:color w:val="000000" w:themeColor="text1"/>
                <w:spacing w:val="-2"/>
                <w:lang w:val="en-US" w:eastAsia="zh-CN"/>
                <w14:textFill>
                  <w14:solidFill>
                    <w14:schemeClr w14:val="tx1"/>
                  </w14:solidFill>
                </w14:textFill>
              </w:rPr>
            </w:pPr>
            <w:r>
              <w:rPr>
                <w:rFonts w:hint="eastAsia" w:ascii="Times New Roman" w:eastAsia="Times New Roman"/>
                <w:color w:val="000000" w:themeColor="text1"/>
                <w:spacing w:val="-2"/>
                <w:lang w:val="en-US" w:eastAsia="zh-CN"/>
                <w14:textFill>
                  <w14:solidFill>
                    <w14:schemeClr w14:val="tx1"/>
                  </w14:solidFill>
                </w14:textFill>
              </w:rPr>
              <w:t>注释完整性、命名、未用导入、异常处理等，并给出评分；某些Django动态成员可能误报</w:t>
            </w:r>
          </w:p>
        </w:tc>
      </w:tr>
      <w:tr w14:paraId="6202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62" w:type="dxa"/>
          </w:tcPr>
          <w:p w14:paraId="4A7A54BE">
            <w:pPr>
              <w:pStyle w:val="4"/>
              <w:spacing w:before="10"/>
              <w:rPr>
                <w:rFonts w:hint="default" w:ascii="Times New Roman" w:eastAsia="Times New Roman"/>
                <w:color w:val="000000" w:themeColor="text1"/>
                <w:spacing w:val="-2"/>
                <w:lang w:val="en-US" w:eastAsia="zh-CN"/>
                <w14:textFill>
                  <w14:solidFill>
                    <w14:schemeClr w14:val="tx1"/>
                  </w14:solidFill>
                </w14:textFill>
              </w:rPr>
            </w:pPr>
            <w:r>
              <w:rPr>
                <w:rFonts w:hint="eastAsia" w:ascii="Times New Roman" w:eastAsia="Times New Roman"/>
                <w:color w:val="000000" w:themeColor="text1"/>
                <w:spacing w:val="-2"/>
                <w:lang w:val="en-US" w:eastAsia="zh-CN"/>
                <w14:textFill>
                  <w14:solidFill>
                    <w14:schemeClr w14:val="tx1"/>
                  </w14:solidFill>
                </w14:textFill>
              </w:rPr>
              <w:t>Django系统检查/单元测试/页面访问</w:t>
            </w:r>
          </w:p>
        </w:tc>
        <w:tc>
          <w:tcPr>
            <w:tcW w:w="2962" w:type="dxa"/>
          </w:tcPr>
          <w:p w14:paraId="0FA31780">
            <w:pPr>
              <w:pStyle w:val="4"/>
              <w:spacing w:before="10"/>
              <w:rPr>
                <w:rFonts w:hint="default" w:ascii="Times New Roman" w:eastAsia="Times New Roman"/>
                <w:color w:val="000000" w:themeColor="text1"/>
                <w:spacing w:val="-2"/>
                <w:lang w:val="en-US" w:eastAsia="zh-CN"/>
                <w14:textFill>
                  <w14:solidFill>
                    <w14:schemeClr w14:val="tx1"/>
                  </w14:solidFill>
                </w14:textFill>
              </w:rPr>
            </w:pPr>
            <w:r>
              <w:rPr>
                <w:rFonts w:hint="eastAsia" w:ascii="Times New Roman" w:eastAsia="Times New Roman"/>
                <w:color w:val="000000" w:themeColor="text1"/>
                <w:spacing w:val="-2"/>
                <w:lang w:val="en-US" w:eastAsia="zh-CN"/>
                <w14:textFill>
                  <w14:solidFill>
                    <w14:schemeClr w14:val="tx1"/>
                  </w14:solidFill>
                </w14:textFill>
              </w:rPr>
              <w:t>部分成员的验证记录</w:t>
            </w:r>
          </w:p>
        </w:tc>
        <w:tc>
          <w:tcPr>
            <w:tcW w:w="2962" w:type="dxa"/>
          </w:tcPr>
          <w:p w14:paraId="07C42E4C">
            <w:pPr>
              <w:pStyle w:val="4"/>
              <w:spacing w:before="10"/>
              <w:rPr>
                <w:rFonts w:hint="eastAsia" w:ascii="Times New Roman" w:eastAsia="Times New Roman"/>
                <w:color w:val="000000" w:themeColor="text1"/>
                <w:spacing w:val="-2"/>
                <w:lang w:val="en-US" w:eastAsia="zh-CN"/>
                <w14:textFill>
                  <w14:solidFill>
                    <w14:schemeClr w14:val="tx1"/>
                  </w14:solidFill>
                </w14:textFill>
              </w:rPr>
            </w:pPr>
            <w:r>
              <w:rPr>
                <w:rFonts w:hint="eastAsia" w:ascii="Times New Roman" w:eastAsia="Times New Roman"/>
                <w:color w:val="000000" w:themeColor="text1"/>
                <w:spacing w:val="-2"/>
                <w:lang w:val="en-US" w:eastAsia="zh-CN"/>
                <w14:textFill>
                  <w14:solidFill>
                    <w14:schemeClr w14:val="tx1"/>
                  </w14:solidFill>
                </w14:textFill>
              </w:rPr>
              <w:t>验证系统配置、测试用例或基础页面；覆盖范围取决于实际执行与证据</w:t>
            </w:r>
          </w:p>
        </w:tc>
      </w:tr>
    </w:tbl>
    <w:p w14:paraId="53BD04D7">
      <w:pPr>
        <w:pStyle w:val="4"/>
        <w:spacing w:before="4"/>
        <w:rPr>
          <w:rFonts w:hint="eastAsia"/>
          <w:color w:val="000000" w:themeColor="text1"/>
          <w:sz w:val="29"/>
          <w14:textFill>
            <w14:solidFill>
              <w14:schemeClr w14:val="tx1"/>
            </w14:solidFill>
          </w14:textFill>
        </w:rPr>
      </w:pPr>
    </w:p>
    <w:p w14:paraId="4A292818">
      <w:pPr>
        <w:pStyle w:val="2"/>
        <w:numPr>
          <w:ilvl w:val="0"/>
          <w:numId w:val="1"/>
        </w:numPr>
        <w:tabs>
          <w:tab w:val="left" w:pos="542"/>
        </w:tabs>
        <w:ind w:hanging="422"/>
        <w:rPr>
          <w:rFonts w:hint="eastAsia"/>
          <w:color w:val="000000" w:themeColor="text1"/>
          <w14:textFill>
            <w14:solidFill>
              <w14:schemeClr w14:val="tx1"/>
            </w14:solidFill>
          </w14:textFill>
        </w:rPr>
      </w:pPr>
      <w:bookmarkStart w:id="6" w:name="3.人工分析代码的质量情况"/>
      <w:bookmarkEnd w:id="6"/>
      <w:r>
        <w:rPr>
          <w:color w:val="000000" w:themeColor="text1"/>
          <w:spacing w:val="-3"/>
          <w14:textFill>
            <w14:solidFill>
              <w14:schemeClr w14:val="tx1"/>
            </w14:solidFill>
          </w14:textFill>
        </w:rPr>
        <w:t>人工分析代码的质量情况</w:t>
      </w:r>
    </w:p>
    <w:p w14:paraId="57F3D9B2">
      <w:pPr>
        <w:pStyle w:val="4"/>
        <w:spacing w:before="4"/>
        <w:rPr>
          <w:rFonts w:hint="eastAsia" w:ascii="Times New Roman"/>
          <w:color w:val="000000" w:themeColor="text1"/>
          <w:sz w:val="28"/>
          <w14:textFill>
            <w14:solidFill>
              <w14:schemeClr w14:val="tx1"/>
            </w14:solidFill>
          </w14:textFill>
        </w:rPr>
      </w:pPr>
    </w:p>
    <w:p w14:paraId="40F35FED">
      <w:pPr>
        <w:pStyle w:val="13"/>
        <w:numPr>
          <w:ilvl w:val="1"/>
          <w:numId w:val="1"/>
        </w:numPr>
        <w:tabs>
          <w:tab w:val="left" w:pos="602"/>
        </w:tabs>
        <w:ind w:hanging="482"/>
        <w:rPr>
          <w:rFonts w:hint="eastAsia"/>
          <w:color w:val="000000" w:themeColor="text1"/>
          <w:sz w:val="24"/>
          <w14:textFill>
            <w14:solidFill>
              <w14:schemeClr w14:val="tx1"/>
            </w14:solidFill>
          </w14:textFill>
        </w:rPr>
      </w:pPr>
      <w:bookmarkStart w:id="7" w:name="3.1_代码风格"/>
      <w:bookmarkEnd w:id="7"/>
      <w:r>
        <w:rPr>
          <w:color w:val="000000" w:themeColor="text1"/>
          <w:spacing w:val="-3"/>
          <w:sz w:val="24"/>
          <w14:textFill>
            <w14:solidFill>
              <w14:schemeClr w14:val="tx1"/>
            </w14:solidFill>
          </w14:textFill>
        </w:rPr>
        <w:t>代码风格</w:t>
      </w:r>
    </w:p>
    <w:p w14:paraId="033D631F">
      <w:pPr>
        <w:pStyle w:val="4"/>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统一编码规范要求使用UTF-8，函数和变量优先snake_case，类名使用PascalCase，四空格缩进，导入按标准库、第三方库及项目内部模块分组；新增个人注释须具备可识别署名。实际扫描发现行过长、空行和尾随空格、导入未使用、类命名不规范、旧式字符串写法等问题。不同模块历史代码风格不完全一致，宜渐进统一。</w:t>
      </w:r>
    </w:p>
    <w:p w14:paraId="1BC82E9E">
      <w:pPr>
        <w:pStyle w:val="4"/>
        <w:rPr>
          <w:rFonts w:hint="eastAsia" w:ascii="Times New Roman" w:eastAsia="Times New Roman"/>
          <w:color w:val="000000" w:themeColor="text1"/>
          <w:spacing w:val="-2"/>
          <w14:textFill>
            <w14:solidFill>
              <w14:schemeClr w14:val="tx1"/>
            </w14:solidFill>
          </w14:textFill>
        </w:rPr>
      </w:pPr>
    </w:p>
    <w:p w14:paraId="33EF09B6">
      <w:pPr>
        <w:pStyle w:val="4"/>
        <w:rPr>
          <w:rFonts w:hint="eastAsia" w:ascii="Times New Roman"/>
          <w:color w:val="000000" w:themeColor="text1"/>
          <w:sz w:val="26"/>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例如servermanager/models.py中的commands类名、MemcacheStorage.py的文件命名与惯常规范存在偏差；blog/admin.py中makr_article_publish拼写欠规范；oauth的静态检查中出现E501/E261等问题。考虑数据库模型、既有路由与调用兼容性，本轮未强制修改所有命名。</w:t>
      </w:r>
    </w:p>
    <w:p w14:paraId="74544914">
      <w:pPr>
        <w:pStyle w:val="4"/>
        <w:spacing w:before="10"/>
        <w:rPr>
          <w:rFonts w:hint="eastAsia" w:ascii="Times New Roman"/>
          <w:color w:val="000000" w:themeColor="text1"/>
          <w:sz w:val="22"/>
          <w14:textFill>
            <w14:solidFill>
              <w14:schemeClr w14:val="tx1"/>
            </w14:solidFill>
          </w14:textFill>
        </w:rPr>
      </w:pPr>
    </w:p>
    <w:p w14:paraId="60848CC9">
      <w:pPr>
        <w:pStyle w:val="13"/>
        <w:numPr>
          <w:ilvl w:val="1"/>
          <w:numId w:val="1"/>
        </w:numPr>
        <w:tabs>
          <w:tab w:val="left" w:pos="602"/>
        </w:tabs>
        <w:ind w:hanging="482"/>
        <w:jc w:val="both"/>
        <w:rPr>
          <w:rFonts w:hint="eastAsia"/>
          <w:color w:val="000000" w:themeColor="text1"/>
          <w:sz w:val="24"/>
          <w14:textFill>
            <w14:solidFill>
              <w14:schemeClr w14:val="tx1"/>
            </w14:solidFill>
          </w14:textFill>
        </w:rPr>
      </w:pPr>
      <w:bookmarkStart w:id="8" w:name="3.2_代码设计"/>
      <w:bookmarkEnd w:id="8"/>
      <w:r>
        <w:rPr>
          <w:color w:val="000000" w:themeColor="text1"/>
          <w:spacing w:val="-3"/>
          <w:sz w:val="24"/>
          <w14:textFill>
            <w14:solidFill>
              <w14:schemeClr w14:val="tx1"/>
            </w14:solidFill>
          </w14:textFill>
        </w:rPr>
        <w:t>代码设计</w:t>
      </w:r>
    </w:p>
    <w:p w14:paraId="71C2D0B2">
      <w:pPr>
        <w:pStyle w:val="4"/>
        <w:spacing w:before="1"/>
        <w:rPr>
          <w:rFonts w:hint="eastAsia" w:ascii="Times New Roman"/>
          <w:color w:val="000000" w:themeColor="text1"/>
          <w:sz w:val="28"/>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系统通过Django应用模块区分文章、账号、评论、授权与服务管理功能，符合模块化思路；blog模块利用BaseModel和Mixin复用公共行为，分类树使用缓存装饰器；servermanager的会话存储存在缓存与文件两种后端降级思路。与此同时，部分回调与网络请求缺少充分容错，机器人处理类分支偏多，提示在异常边界与函数职责上仍有改进空间。</w:t>
      </w:r>
    </w:p>
    <w:p w14:paraId="59CD2C3B">
      <w:pPr>
        <w:pStyle w:val="13"/>
        <w:numPr>
          <w:ilvl w:val="1"/>
          <w:numId w:val="1"/>
        </w:numPr>
        <w:tabs>
          <w:tab w:val="left" w:pos="602"/>
        </w:tabs>
        <w:spacing w:before="1"/>
        <w:ind w:hanging="482"/>
        <w:rPr>
          <w:rFonts w:hint="eastAsia"/>
          <w:color w:val="000000" w:themeColor="text1"/>
          <w:sz w:val="24"/>
          <w14:textFill>
            <w14:solidFill>
              <w14:schemeClr w14:val="tx1"/>
            </w14:solidFill>
          </w14:textFill>
        </w:rPr>
      </w:pPr>
      <w:bookmarkStart w:id="9" w:name="3.3_编程技能"/>
      <w:bookmarkEnd w:id="9"/>
      <w:r>
        <w:rPr>
          <w:color w:val="000000" w:themeColor="text1"/>
          <w:spacing w:val="-3"/>
          <w:sz w:val="24"/>
          <w14:textFill>
            <w14:solidFill>
              <w14:schemeClr w14:val="tx1"/>
            </w14:solidFill>
          </w14:textFill>
        </w:rPr>
        <w:t>编程技能</w:t>
      </w:r>
    </w:p>
    <w:p w14:paraId="7C7E4952">
      <w:pPr>
        <w:spacing w:line="242" w:lineRule="auto"/>
        <w:rPr>
          <w:rFonts w:ascii="Times New Roman" w:eastAsia="Times New Roman"/>
          <w:color w:val="000000" w:themeColor="text1"/>
          <w14:textFill>
            <w14:solidFill>
              <w14:schemeClr w14:val="tx1"/>
            </w14:solidFill>
          </w14:textFill>
        </w:rPr>
        <w:sectPr>
          <w:type w:val="continuous"/>
          <w:pgSz w:w="11910" w:h="16840"/>
          <w:pgMar w:top="1440" w:right="1560" w:bottom="280" w:left="1680" w:header="720" w:footer="720" w:gutter="0"/>
          <w:pgBorders>
            <w:top w:val="none" w:sz="0" w:space="0"/>
            <w:left w:val="none" w:sz="0" w:space="0"/>
            <w:bottom w:val="none" w:sz="0" w:space="0"/>
            <w:right w:val="none" w:sz="0" w:space="0"/>
          </w:pgBorders>
          <w:cols w:space="720" w:num="1"/>
        </w:sectPr>
      </w:pPr>
      <w:r>
        <w:rPr>
          <w:rFonts w:hint="eastAsia" w:ascii="Times New Roman" w:eastAsia="Times New Roman"/>
          <w:color w:val="000000" w:themeColor="text1"/>
          <w:spacing w:val="-2"/>
          <w14:textFill>
            <w14:solidFill>
              <w14:schemeClr w14:val="tx1"/>
            </w14:solidFill>
          </w14:textFill>
        </w:rPr>
        <w:t>可取实践包括：Django ORM与模型层抽象减少直接SQL处理，使用装饰器缓存重复查询，OAuth模块对不同平台授权流程封装，servermanager通过正则提取正文首图及存储后端降级，djangoblog通过信号与搜索适配逻辑组织跨模块行为。上述结构有助于扩展，但外部服务失败、状态变化与缓存失效等场景还需配套测试。</w:t>
      </w:r>
    </w:p>
    <w:p w14:paraId="13CFB8D1">
      <w:pPr>
        <w:pStyle w:val="13"/>
        <w:numPr>
          <w:ilvl w:val="1"/>
          <w:numId w:val="1"/>
        </w:numPr>
        <w:tabs>
          <w:tab w:val="left" w:pos="602"/>
        </w:tabs>
        <w:spacing w:before="42"/>
        <w:ind w:hanging="482"/>
        <w:rPr>
          <w:rFonts w:hint="eastAsia"/>
          <w:color w:val="000000" w:themeColor="text1"/>
          <w:sz w:val="24"/>
          <w14:textFill>
            <w14:solidFill>
              <w14:schemeClr w14:val="tx1"/>
            </w14:solidFill>
          </w14:textFill>
        </w:rPr>
      </w:pPr>
      <w:bookmarkStart w:id="10" w:name="3.4_代码质量问题"/>
      <w:bookmarkEnd w:id="10"/>
      <w:r>
        <w:rPr>
          <w:color w:val="000000" w:themeColor="text1"/>
          <w:spacing w:val="-2"/>
          <w:sz w:val="24"/>
          <w14:textFill>
            <w14:solidFill>
              <w14:schemeClr w14:val="tx1"/>
            </w14:solidFill>
          </w14:textFill>
        </w:rPr>
        <w:t>代码质量问题</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6"/>
        <w:gridCol w:w="2961"/>
        <w:gridCol w:w="2829"/>
      </w:tblGrid>
      <w:tr w14:paraId="4F3CE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51B922FA">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模块及位置</w:t>
            </w:r>
          </w:p>
        </w:tc>
        <w:tc>
          <w:tcPr>
            <w:tcW w:w="3135" w:type="dxa"/>
            <w:vAlign w:val="center"/>
          </w:tcPr>
          <w:p w14:paraId="460FE3B6">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具体问题</w:t>
            </w:r>
          </w:p>
        </w:tc>
        <w:tc>
          <w:tcPr>
            <w:tcW w:w="3135" w:type="dxa"/>
            <w:vAlign w:val="center"/>
          </w:tcPr>
          <w:p w14:paraId="7ACE842C">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本轮处理</w:t>
            </w:r>
          </w:p>
        </w:tc>
      </w:tr>
      <w:tr w14:paraId="76A34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D380FA2">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blog/admin.py、views.py</w:t>
            </w:r>
          </w:p>
        </w:tc>
        <w:tc>
          <w:tcPr>
            <w:tcW w:w="3135" w:type="dxa"/>
            <w:vAlign w:val="center"/>
          </w:tcPr>
          <w:p w14:paraId="40F52169">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函数名makr拼写不规范；文章不存在时的异常响应需核查</w:t>
            </w:r>
          </w:p>
        </w:tc>
        <w:tc>
          <w:tcPr>
            <w:tcW w:w="3135" w:type="dxa"/>
            <w:vAlign w:val="center"/>
          </w:tcPr>
          <w:p w14:paraId="3A16796C">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拼写问题保留并加注释；404风险待优化</w:t>
            </w:r>
          </w:p>
        </w:tc>
      </w:tr>
      <w:tr w14:paraId="47247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57AA71DC">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accounts/views.py</w:t>
            </w:r>
          </w:p>
        </w:tc>
        <w:tc>
          <w:tcPr>
            <w:tcW w:w="3135" w:type="dxa"/>
            <w:vAlign w:val="center"/>
          </w:tcPr>
          <w:p w14:paraId="74E4E804">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注册邮件发送缺少异常捕获；logged_user Cookie的httponly=False；长期未激活用户清理策略不足</w:t>
            </w:r>
          </w:p>
        </w:tc>
        <w:tc>
          <w:tcPr>
            <w:tcW w:w="3135" w:type="dxa"/>
            <w:vAlign w:val="center"/>
          </w:tcPr>
          <w:p w14:paraId="1F796F27">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记录，未修改高风险账号逻辑</w:t>
            </w:r>
          </w:p>
        </w:tc>
      </w:tr>
      <w:tr w14:paraId="274CB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ED2B499">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comments/views.py</w:t>
            </w:r>
          </w:p>
        </w:tc>
        <w:tc>
          <w:tcPr>
            <w:tcW w:w="3135" w:type="dxa"/>
            <w:vAlign w:val="center"/>
          </w:tcPr>
          <w:p w14:paraId="513D8DD7">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评论提交重复读取当前用户；父评论ID无效时可能触发500</w:t>
            </w:r>
          </w:p>
        </w:tc>
        <w:tc>
          <w:tcPr>
            <w:tcW w:w="3135" w:type="dxa"/>
            <w:vAlign w:val="center"/>
          </w:tcPr>
          <w:p w14:paraId="7332EBF5">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复用user对象、减少查询；父评论异常处理待改</w:t>
            </w:r>
          </w:p>
        </w:tc>
      </w:tr>
      <w:tr w14:paraId="64DAC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39D96C70">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oauth/oauthmanager.py、views.py</w:t>
            </w:r>
          </w:p>
        </w:tc>
        <w:tc>
          <w:tcPr>
            <w:tcW w:w="3135" w:type="dxa"/>
            <w:vAlign w:val="center"/>
          </w:tcPr>
          <w:p w14:paraId="1EEA7323">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第三方请求超时及异常处理不足；回调参数合法性校验不足</w:t>
            </w:r>
          </w:p>
        </w:tc>
        <w:tc>
          <w:tcPr>
            <w:tcW w:w="3135" w:type="dxa"/>
            <w:vAlign w:val="center"/>
          </w:tcPr>
          <w:p w14:paraId="5EC1EB46">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登记风险，核心授权流程暂不修改</w:t>
            </w:r>
          </w:p>
        </w:tc>
      </w:tr>
      <w:tr w14:paraId="63216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6BDCDF19">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servermanager/robot.py、models.py</w:t>
            </w:r>
          </w:p>
        </w:tc>
        <w:tc>
          <w:tcPr>
            <w:tcW w:w="3135" w:type="dxa"/>
            <w:vAlign w:val="center"/>
          </w:tcPr>
          <w:p w14:paraId="45FA526F">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默认token硬编码；commands命名、describe字段拼写等问题</w:t>
            </w:r>
          </w:p>
        </w:tc>
        <w:tc>
          <w:tcPr>
            <w:tcW w:w="3135" w:type="dxa"/>
            <w:vAlign w:val="center"/>
          </w:tcPr>
          <w:p w14:paraId="0C2ECD53">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硬编码及模型兼容问题未修；小范围清理未使用变量</w:t>
            </w:r>
          </w:p>
        </w:tc>
      </w:tr>
      <w:tr w14:paraId="54D4E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4C12C6C7">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djangoblog/blog_signals.py、utils.py等</w:t>
            </w:r>
          </w:p>
        </w:tc>
        <w:tc>
          <w:tcPr>
            <w:tcW w:w="3135" w:type="dxa"/>
            <w:vAlign w:val="center"/>
          </w:tcPr>
          <w:p w14:paraId="01A0BCFA">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日志调用参数、无效转义序列、旧式写法、宽泛异常捕获等</w:t>
            </w:r>
          </w:p>
        </w:tc>
        <w:tc>
          <w:tcPr>
            <w:tcW w:w="3135" w:type="dxa"/>
            <w:vAlign w:val="center"/>
          </w:tcPr>
          <w:p w14:paraId="28CF9C18">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选择少量低风险修改；宽泛捕获等保留待专项核查</w:t>
            </w:r>
          </w:p>
        </w:tc>
      </w:tr>
    </w:tbl>
    <w:p w14:paraId="39C84B33">
      <w:pPr>
        <w:pStyle w:val="4"/>
        <w:spacing w:before="9"/>
        <w:rPr>
          <w:rFonts w:hint="eastAsia" w:ascii="Times New Roman"/>
          <w:color w:val="000000" w:themeColor="text1"/>
          <w:sz w:val="32"/>
          <w14:textFill>
            <w14:solidFill>
              <w14:schemeClr w14:val="tx1"/>
            </w14:solidFill>
          </w14:textFill>
        </w:rPr>
      </w:pPr>
    </w:p>
    <w:p w14:paraId="3456646F">
      <w:pPr>
        <w:pStyle w:val="2"/>
        <w:numPr>
          <w:ilvl w:val="0"/>
          <w:numId w:val="1"/>
        </w:numPr>
        <w:tabs>
          <w:tab w:val="left" w:pos="542"/>
        </w:tabs>
        <w:spacing w:before="1"/>
        <w:ind w:hanging="422"/>
        <w:rPr>
          <w:rFonts w:hint="eastAsia"/>
          <w:color w:val="000000" w:themeColor="text1"/>
          <w14:textFill>
            <w14:solidFill>
              <w14:schemeClr w14:val="tx1"/>
            </w14:solidFill>
          </w14:textFill>
        </w:rPr>
      </w:pPr>
      <w:bookmarkStart w:id="11" w:name="4.工具分析代码的质量情况"/>
      <w:bookmarkEnd w:id="11"/>
      <w:r>
        <w:rPr>
          <w:color w:val="000000" w:themeColor="text1"/>
          <w:spacing w:val="-3"/>
          <w14:textFill>
            <w14:solidFill>
              <w14:schemeClr w14:val="tx1"/>
            </w14:solidFill>
          </w14:textFill>
        </w:rPr>
        <w:t>工具分析代码的质量情况</w:t>
      </w:r>
    </w:p>
    <w:p w14:paraId="0B247E30">
      <w:pPr>
        <w:pStyle w:val="13"/>
        <w:numPr>
          <w:ilvl w:val="1"/>
          <w:numId w:val="1"/>
        </w:numPr>
        <w:tabs>
          <w:tab w:val="left" w:pos="602"/>
        </w:tabs>
        <w:spacing w:before="42"/>
        <w:ind w:hanging="482"/>
        <w:rPr>
          <w:color w:val="000000" w:themeColor="text1"/>
          <w:spacing w:val="-2"/>
          <w:sz w:val="24"/>
          <w14:textFill>
            <w14:solidFill>
              <w14:schemeClr w14:val="tx1"/>
            </w14:solidFill>
          </w14:textFill>
        </w:rPr>
      </w:pPr>
      <w:r>
        <w:rPr>
          <w:color w:val="000000" w:themeColor="text1"/>
          <w:spacing w:val="-2"/>
          <w:sz w:val="24"/>
          <w14:textFill>
            <w14:solidFill>
              <w14:schemeClr w14:val="tx1"/>
            </w14:solidFill>
          </w14:textFill>
        </w:rPr>
        <w:t>各模块工具扫描和修复摘要</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2969"/>
        <w:gridCol w:w="2934"/>
      </w:tblGrid>
      <w:tr w14:paraId="787AA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52AA3F44">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模块</w:t>
            </w:r>
          </w:p>
        </w:tc>
        <w:tc>
          <w:tcPr>
            <w:tcW w:w="3135" w:type="dxa"/>
            <w:vAlign w:val="center"/>
          </w:tcPr>
          <w:p w14:paraId="1D49CB52">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工具与材料中记录的结果</w:t>
            </w:r>
          </w:p>
        </w:tc>
        <w:tc>
          <w:tcPr>
            <w:tcW w:w="3135" w:type="dxa"/>
            <w:vAlign w:val="center"/>
          </w:tcPr>
          <w:p w14:paraId="24641E52">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修复/验证情况</w:t>
            </w:r>
          </w:p>
        </w:tc>
      </w:tr>
      <w:tr w14:paraId="7D6CF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502DC2D3">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blog</w:t>
            </w:r>
          </w:p>
        </w:tc>
        <w:tc>
          <w:tcPr>
            <w:tcW w:w="3135" w:type="dxa"/>
            <w:vAlign w:val="center"/>
          </w:tcPr>
          <w:p w14:paraId="7FC9BB49">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PyCharm Code Inspection：少量未使用导入、长行等；无统一数量</w:t>
            </w:r>
          </w:p>
        </w:tc>
        <w:tc>
          <w:tcPr>
            <w:tcW w:w="3135" w:type="dxa"/>
            <w:vAlign w:val="center"/>
          </w:tcPr>
          <w:p w14:paraId="0BD7781C">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部分排版改进；个人报告称本地列表与详情访问正常</w:t>
            </w:r>
          </w:p>
        </w:tc>
      </w:tr>
      <w:tr w14:paraId="4E822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808CED4">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accounts</w:t>
            </w:r>
          </w:p>
        </w:tc>
        <w:tc>
          <w:tcPr>
            <w:tcW w:w="3135" w:type="dxa"/>
            <w:vAlign w:val="center"/>
          </w:tcPr>
          <w:p w14:paraId="550FF397">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Flake8原始输出共10条示例告警，含F401、E402、E501、E302等</w:t>
            </w:r>
          </w:p>
        </w:tc>
        <w:tc>
          <w:tcPr>
            <w:tcW w:w="3135" w:type="dxa"/>
            <w:vAlign w:val="center"/>
          </w:tcPr>
          <w:p w14:paraId="08FBC7FB">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以注释为主；注册与登录页面据成员记录可正常访问</w:t>
            </w:r>
          </w:p>
        </w:tc>
      </w:tr>
      <w:tr w14:paraId="7F1D3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2863C64">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comments</w:t>
            </w:r>
          </w:p>
        </w:tc>
        <w:tc>
          <w:tcPr>
            <w:tcW w:w="3135" w:type="dxa"/>
            <w:vAlign w:val="center"/>
          </w:tcPr>
          <w:p w14:paraId="723D7A48">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Flake8：W291、W293、W292、F401等，前后扫描截图已提供</w:t>
            </w:r>
          </w:p>
        </w:tc>
        <w:tc>
          <w:tcPr>
            <w:tcW w:w="3135" w:type="dxa"/>
            <w:vAlign w:val="center"/>
          </w:tcPr>
          <w:p w14:paraId="68D80C89">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删除重复查询与清理格式；成员称评论提交验证通过</w:t>
            </w:r>
          </w:p>
        </w:tc>
      </w:tr>
      <w:tr w14:paraId="2ED94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1A985630">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oauth</w:t>
            </w:r>
          </w:p>
        </w:tc>
        <w:tc>
          <w:tcPr>
            <w:tcW w:w="3135" w:type="dxa"/>
            <w:vAlign w:val="center"/>
          </w:tcPr>
          <w:p w14:paraId="35CB974B">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Flake8扫描原始输出，涉及E501、E261、F841、F401等</w:t>
            </w:r>
          </w:p>
        </w:tc>
        <w:tc>
          <w:tcPr>
            <w:tcW w:w="3135" w:type="dxa"/>
            <w:vAlign w:val="center"/>
          </w:tcPr>
          <w:p w14:paraId="3AA21E83">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测试代码局部调整；成员报告称33个用例通过，未修高风险授权逻辑</w:t>
            </w:r>
          </w:p>
        </w:tc>
      </w:tr>
      <w:tr w14:paraId="65E15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6CB957EE">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servermanager</w:t>
            </w:r>
          </w:p>
        </w:tc>
        <w:tc>
          <w:tcPr>
            <w:tcW w:w="3135" w:type="dxa"/>
            <w:vAlign w:val="center"/>
          </w:tcPr>
          <w:p w14:paraId="351BE0E3">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Pylint 4.1.3：修改前6.06/10，修改后6.14/10</w:t>
            </w:r>
          </w:p>
        </w:tc>
        <w:tc>
          <w:tcPr>
            <w:tcW w:w="3135" w:type="dxa"/>
            <w:vAlign w:val="center"/>
          </w:tcPr>
          <w:p w14:paraId="3A5C44FA">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提升0.08分；部分未使用导入、异常变量与空行问题修复，成员附首页截图</w:t>
            </w:r>
          </w:p>
        </w:tc>
      </w:tr>
      <w:tr w14:paraId="7D3FB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1EF5BE21">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djangoblog</w:t>
            </w:r>
          </w:p>
        </w:tc>
        <w:tc>
          <w:tcPr>
            <w:tcW w:w="3135" w:type="dxa"/>
            <w:vAlign w:val="center"/>
          </w:tcPr>
          <w:p w14:paraId="76C4A70E">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Ruff：修改前164条问题，75条有安全修复建议</w:t>
            </w:r>
          </w:p>
        </w:tc>
        <w:tc>
          <w:tcPr>
            <w:tcW w:w="3135" w:type="dxa"/>
            <w:vAlign w:val="center"/>
          </w:tcPr>
          <w:p w14:paraId="7707446E">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已开展小范围局部修复；资料包未提供全模块复检JSON，因此不能给出最终剩余数</w:t>
            </w:r>
          </w:p>
        </w:tc>
      </w:tr>
    </w:tbl>
    <w:p w14:paraId="7E3AE36F">
      <w:pPr>
        <w:pStyle w:val="13"/>
        <w:numPr>
          <w:numId w:val="0"/>
        </w:numPr>
        <w:tabs>
          <w:tab w:val="left" w:pos="602"/>
        </w:tabs>
        <w:spacing w:before="42"/>
        <w:ind w:left="120" w:leftChars="0"/>
        <w:rPr>
          <w:color w:val="000000" w:themeColor="text1"/>
          <w:spacing w:val="-2"/>
          <w:sz w:val="24"/>
          <w14:textFill>
            <w14:solidFill>
              <w14:schemeClr w14:val="tx1"/>
            </w14:solidFill>
          </w14:textFill>
        </w:rPr>
      </w:pPr>
    </w:p>
    <w:p w14:paraId="3849D69A">
      <w:pPr>
        <w:pStyle w:val="13"/>
        <w:numPr>
          <w:ilvl w:val="1"/>
          <w:numId w:val="1"/>
        </w:numPr>
        <w:tabs>
          <w:tab w:val="left" w:pos="602"/>
        </w:tabs>
        <w:spacing w:before="42"/>
        <w:ind w:hanging="482"/>
        <w:rPr>
          <w:color w:val="000000" w:themeColor="text1"/>
          <w:spacing w:val="-2"/>
          <w:sz w:val="24"/>
          <w14:textFill>
            <w14:solidFill>
              <w14:schemeClr w14:val="tx1"/>
            </w14:solidFill>
          </w14:textFill>
        </w:rPr>
      </w:pPr>
      <w:r>
        <w:rPr>
          <w:color w:val="000000" w:themeColor="text1"/>
          <w:spacing w:val="-2"/>
          <w:sz w:val="24"/>
          <w14:textFill>
            <w14:solidFill>
              <w14:schemeClr w14:val="tx1"/>
            </w14:solidFill>
          </w14:textFill>
        </w:rPr>
        <w:t>djangoblog 静态问题样例</w:t>
      </w:r>
    </w:p>
    <w:p w14:paraId="6D13EDC2">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color w:val="000000" w:themeColor="text1"/>
          <w:spacing w:val="-2"/>
          <w:lang w:eastAsia="zh-CN"/>
          <w14:textFill>
            <w14:solidFill>
              <w14:schemeClr w14:val="tx1"/>
            </w14:solidFill>
          </w14:textFill>
        </w:rPr>
        <w:t>张嘉怡</w:t>
      </w:r>
      <w:r>
        <w:rPr>
          <w:rFonts w:hint="eastAsia" w:ascii="Times New Roman" w:eastAsia="Times New Roman"/>
          <w:color w:val="000000" w:themeColor="text1"/>
          <w:spacing w:val="-2"/>
          <w14:textFill>
            <w14:solidFill>
              <w14:schemeClr w14:val="tx1"/>
            </w14:solidFill>
          </w14:textFill>
        </w:rPr>
        <w:t>提交的Ruff文本显示，典型告警包括：PLE1205（日志格式参数不匹配）、W605（正则字符串无效转义）、UP039（类定义冗余括号）、UP032（字符串格式化建议）、E722（空except）及BLE001（过宽异常捕获）。其中“安全自动修复”只代表工具的可修复性标记，不意味着不经验证就适宜批量修改。</w:t>
      </w:r>
    </w:p>
    <w:p w14:paraId="2466857C">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针对问题采取最小修改：blog_signals.py调整异常日志调用；utils.py简化一处日志字符串；whoosh_cn_backend.py为正则表达式补充原始字符串前缀；spider_notify.py简化类声明。原始代码注释保留。对于明确决定跳过的base_views.py编码声明和feeds.py字符串写法，不计入实际修复。以上为成员工作记录，资料包未包含同一配置下的修改后完整Ruff复检结果，故不宣称具体净减少数量。</w:t>
      </w:r>
    </w:p>
    <w:p w14:paraId="4702D1D0">
      <w:pPr>
        <w:pStyle w:val="13"/>
        <w:numPr>
          <w:numId w:val="0"/>
        </w:numPr>
        <w:tabs>
          <w:tab w:val="left" w:pos="602"/>
        </w:tabs>
        <w:spacing w:before="42"/>
        <w:rPr>
          <w:color w:val="000000" w:themeColor="text1"/>
          <w:spacing w:val="-2"/>
          <w:sz w:val="24"/>
          <w14:textFill>
            <w14:solidFill>
              <w14:schemeClr w14:val="tx1"/>
            </w14:solidFill>
          </w14:textFill>
        </w:rPr>
      </w:pPr>
    </w:p>
    <w:p w14:paraId="7E3FE93C">
      <w:pPr>
        <w:pStyle w:val="13"/>
        <w:numPr>
          <w:ilvl w:val="1"/>
          <w:numId w:val="1"/>
        </w:numPr>
        <w:tabs>
          <w:tab w:val="left" w:pos="602"/>
        </w:tabs>
        <w:spacing w:before="42"/>
        <w:ind w:hanging="482"/>
        <w:rPr>
          <w:color w:val="000000" w:themeColor="text1"/>
          <w:spacing w:val="-2"/>
          <w:sz w:val="24"/>
          <w14:textFill>
            <w14:solidFill>
              <w14:schemeClr w14:val="tx1"/>
            </w14:solidFill>
          </w14:textFill>
        </w:rPr>
      </w:pPr>
      <w:r>
        <w:rPr>
          <w:color w:val="000000" w:themeColor="text1"/>
          <w:spacing w:val="-2"/>
          <w:sz w:val="24"/>
          <w14:textFill>
            <w14:solidFill>
              <w14:schemeClr w14:val="tx1"/>
            </w14:solidFill>
          </w14:textFill>
        </w:rPr>
        <w:t>结果可比性及验证边界</w:t>
      </w:r>
    </w:p>
    <w:p w14:paraId="3709F304">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本组分别使用Ruff、Flake8、PyCharm Inspection和Pylint，规则集、扫描范围与门槛不同，因此不能将告警数量简单合并得出“全项目缺陷总数”，也不能横向比较不同模块的评分。已留存较完整前后数据的是servermanager Pylint评分；oauth的33项测试为组员报告中的测试记录，不等于六模块整体验收；Django check通过属于系统检查，不替代登录、评论及第三方OAuth端到端验证。</w:t>
      </w:r>
    </w:p>
    <w:p w14:paraId="49565B65">
      <w:pPr>
        <w:pStyle w:val="13"/>
        <w:numPr>
          <w:numId w:val="0"/>
        </w:numPr>
        <w:tabs>
          <w:tab w:val="left" w:pos="602"/>
        </w:tabs>
        <w:spacing w:before="42"/>
        <w:ind w:left="120" w:leftChars="0"/>
        <w:rPr>
          <w:color w:val="000000" w:themeColor="text1"/>
          <w:spacing w:val="-2"/>
          <w:sz w:val="24"/>
          <w14:textFill>
            <w14:solidFill>
              <w14:schemeClr w14:val="tx1"/>
            </w14:solidFill>
          </w14:textFill>
        </w:rPr>
      </w:pPr>
    </w:p>
    <w:p w14:paraId="42648946">
      <w:pPr>
        <w:pStyle w:val="4"/>
        <w:spacing w:before="132" w:line="242" w:lineRule="auto"/>
        <w:ind w:left="120" w:right="240" w:firstLine="420"/>
        <w:rPr>
          <w:rFonts w:hint="eastAsia" w:ascii="Times New Roman" w:eastAsiaTheme="minorEastAsia"/>
          <w:color w:val="000000" w:themeColor="text1"/>
          <w14:textFill>
            <w14:solidFill>
              <w14:schemeClr w14:val="tx1"/>
            </w14:solidFill>
          </w14:textFill>
        </w:rPr>
      </w:pPr>
    </w:p>
    <w:p w14:paraId="11ACD4C9">
      <w:pPr>
        <w:pStyle w:val="2"/>
        <w:numPr>
          <w:ilvl w:val="0"/>
          <w:numId w:val="1"/>
        </w:numPr>
        <w:tabs>
          <w:tab w:val="left" w:pos="542"/>
        </w:tabs>
        <w:spacing w:before="1"/>
        <w:ind w:hanging="422"/>
        <w:rPr>
          <w:rFonts w:hint="eastAsia" w:ascii="Times New Roman" w:eastAsiaTheme="minorEastAsia"/>
          <w:color w:val="000000" w:themeColor="text1"/>
          <w14:textFill>
            <w14:solidFill>
              <w14:schemeClr w14:val="tx1"/>
            </w14:solidFill>
          </w14:textFill>
        </w:rPr>
      </w:pPr>
      <w:r>
        <w:rPr>
          <w:rFonts w:hint="eastAsia" w:ascii="Times New Roman" w:eastAsiaTheme="minorEastAsia"/>
          <w:color w:val="000000" w:themeColor="text1"/>
          <w14:textFill>
            <w14:solidFill>
              <w14:schemeClr w14:val="tx1"/>
            </w14:solidFill>
          </w14:textFill>
        </w:rPr>
        <w:t>小组分工</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1"/>
        <w:gridCol w:w="2179"/>
        <w:gridCol w:w="2694"/>
        <w:gridCol w:w="2042"/>
      </w:tblGrid>
      <w:tr w14:paraId="4950D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vAlign w:val="center"/>
          </w:tcPr>
          <w:p w14:paraId="6E5809B0">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姓名</w:t>
            </w:r>
          </w:p>
        </w:tc>
        <w:tc>
          <w:tcPr>
            <w:tcW w:w="2351" w:type="dxa"/>
            <w:vAlign w:val="center"/>
          </w:tcPr>
          <w:p w14:paraId="03E06A67">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负责模块</w:t>
            </w:r>
          </w:p>
        </w:tc>
        <w:tc>
          <w:tcPr>
            <w:tcW w:w="2351" w:type="dxa"/>
            <w:vAlign w:val="center"/>
          </w:tcPr>
          <w:p w14:paraId="72759286">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注释源码/统计</w:t>
            </w:r>
          </w:p>
        </w:tc>
        <w:tc>
          <w:tcPr>
            <w:tcW w:w="2351" w:type="dxa"/>
            <w:vAlign w:val="center"/>
          </w:tcPr>
          <w:p w14:paraId="4B56636E">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个人标识</w:t>
            </w:r>
          </w:p>
        </w:tc>
      </w:tr>
      <w:tr w14:paraId="57BAF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vAlign w:val="center"/>
          </w:tcPr>
          <w:p w14:paraId="229945CB">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郭嘉</w:t>
            </w:r>
          </w:p>
        </w:tc>
        <w:tc>
          <w:tcPr>
            <w:tcW w:w="2351" w:type="dxa"/>
            <w:vAlign w:val="center"/>
          </w:tcPr>
          <w:p w14:paraId="326FB810">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blog</w:t>
            </w:r>
          </w:p>
        </w:tc>
        <w:tc>
          <w:tcPr>
            <w:tcW w:w="2351" w:type="dxa"/>
            <w:vAlign w:val="center"/>
          </w:tcPr>
          <w:p w14:paraId="7C9DBFE7">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models、views、admin、urls及6个test_*.py；约60+行核心注释</w:t>
            </w:r>
          </w:p>
        </w:tc>
        <w:tc>
          <w:tcPr>
            <w:tcW w:w="2351" w:type="dxa"/>
            <w:vAlign w:val="center"/>
          </w:tcPr>
          <w:p w14:paraId="4B873164">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 GJ:</w:t>
            </w:r>
          </w:p>
        </w:tc>
      </w:tr>
      <w:tr w14:paraId="0942E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vAlign w:val="center"/>
          </w:tcPr>
          <w:p w14:paraId="550E4378">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袁汝双</w:t>
            </w:r>
          </w:p>
        </w:tc>
        <w:tc>
          <w:tcPr>
            <w:tcW w:w="2351" w:type="dxa"/>
            <w:vAlign w:val="center"/>
          </w:tcPr>
          <w:p w14:paraId="3A834D46">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accounts</w:t>
            </w:r>
          </w:p>
        </w:tc>
        <w:tc>
          <w:tcPr>
            <w:tcW w:w="2351" w:type="dxa"/>
            <w:vAlign w:val="center"/>
          </w:tcPr>
          <w:p w14:paraId="345B4697">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models.py、views.py；</w:t>
            </w:r>
          </w:p>
        </w:tc>
        <w:tc>
          <w:tcPr>
            <w:tcW w:w="2351" w:type="dxa"/>
            <w:vAlign w:val="center"/>
          </w:tcPr>
          <w:p w14:paraId="663A335F">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 J2-yrs（个人记录）</w:t>
            </w:r>
          </w:p>
        </w:tc>
      </w:tr>
      <w:tr w14:paraId="14A68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vAlign w:val="center"/>
          </w:tcPr>
          <w:p w14:paraId="128BA184">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顾云舒</w:t>
            </w:r>
          </w:p>
        </w:tc>
        <w:tc>
          <w:tcPr>
            <w:tcW w:w="2351" w:type="dxa"/>
            <w:vAlign w:val="center"/>
          </w:tcPr>
          <w:p w14:paraId="3FD232BA">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comments</w:t>
            </w:r>
          </w:p>
        </w:tc>
        <w:tc>
          <w:tcPr>
            <w:tcW w:w="2351" w:type="dxa"/>
            <w:vAlign w:val="center"/>
          </w:tcPr>
          <w:p w14:paraId="276498B2">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models.py、views.py；约25行注释</w:t>
            </w:r>
          </w:p>
        </w:tc>
        <w:tc>
          <w:tcPr>
            <w:tcW w:w="2351" w:type="dxa"/>
            <w:vAlign w:val="center"/>
          </w:tcPr>
          <w:p w14:paraId="2BC8ED0D">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#gys:</w:t>
            </w:r>
          </w:p>
        </w:tc>
      </w:tr>
      <w:tr w14:paraId="7F167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vAlign w:val="center"/>
          </w:tcPr>
          <w:p w14:paraId="3738C0A1">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孙文</w:t>
            </w:r>
          </w:p>
        </w:tc>
        <w:tc>
          <w:tcPr>
            <w:tcW w:w="2351" w:type="dxa"/>
            <w:vAlign w:val="center"/>
          </w:tcPr>
          <w:p w14:paraId="55105D8E">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oauth</w:t>
            </w:r>
          </w:p>
        </w:tc>
        <w:tc>
          <w:tcPr>
            <w:tcW w:w="2351" w:type="dxa"/>
            <w:vAlign w:val="center"/>
          </w:tcPr>
          <w:p w14:paraId="325E7FE8">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admin、apps、forms、models、oauthmanager、tests、test_oauth_business_logic、urls、views等9项；</w:t>
            </w:r>
          </w:p>
        </w:tc>
        <w:tc>
          <w:tcPr>
            <w:tcW w:w="2351" w:type="dxa"/>
            <w:vAlign w:val="center"/>
          </w:tcPr>
          <w:p w14:paraId="4E427E66">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 sw:</w:t>
            </w:r>
          </w:p>
        </w:tc>
      </w:tr>
      <w:tr w14:paraId="07E25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vAlign w:val="center"/>
          </w:tcPr>
          <w:p w14:paraId="55717112">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郑智洋</w:t>
            </w:r>
          </w:p>
        </w:tc>
        <w:tc>
          <w:tcPr>
            <w:tcW w:w="2351" w:type="dxa"/>
            <w:vAlign w:val="center"/>
          </w:tcPr>
          <w:p w14:paraId="6B89BD36">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servermanager</w:t>
            </w:r>
          </w:p>
        </w:tc>
        <w:tc>
          <w:tcPr>
            <w:tcW w:w="2351" w:type="dxa"/>
            <w:vAlign w:val="center"/>
          </w:tcPr>
          <w:p w14:paraId="6FDA58B7">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models.py 3条、MemcacheStorage.py 6条、robot.py 12条；合计21条</w:t>
            </w:r>
          </w:p>
        </w:tc>
        <w:tc>
          <w:tcPr>
            <w:tcW w:w="2351" w:type="dxa"/>
            <w:vAlign w:val="center"/>
          </w:tcPr>
          <w:p w14:paraId="2B67253D">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 zzy:</w:t>
            </w:r>
          </w:p>
        </w:tc>
      </w:tr>
      <w:tr w14:paraId="178E4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vAlign w:val="center"/>
          </w:tcPr>
          <w:p w14:paraId="486E01EB">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张嘉怡</w:t>
            </w:r>
          </w:p>
        </w:tc>
        <w:tc>
          <w:tcPr>
            <w:tcW w:w="2351" w:type="dxa"/>
            <w:vAlign w:val="center"/>
          </w:tcPr>
          <w:p w14:paraId="14AEF20E">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djangoblog</w:t>
            </w:r>
          </w:p>
        </w:tc>
        <w:tc>
          <w:tcPr>
            <w:tcW w:w="2351" w:type="dxa"/>
            <w:vAlign w:val="center"/>
          </w:tcPr>
          <w:p w14:paraId="55EE4A6A">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 xml:space="preserve">源码材料23个文件，逐文件计数合计293条 </w:t>
            </w:r>
          </w:p>
        </w:tc>
        <w:tc>
          <w:tcPr>
            <w:tcW w:w="2351" w:type="dxa"/>
            <w:vAlign w:val="center"/>
          </w:tcPr>
          <w:p w14:paraId="15912753">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 zhang:</w:t>
            </w:r>
          </w:p>
        </w:tc>
      </w:tr>
    </w:tbl>
    <w:p w14:paraId="484059B6">
      <w:pPr>
        <w:pStyle w:val="4"/>
        <w:spacing w:before="132" w:line="242" w:lineRule="auto"/>
        <w:ind w:left="120" w:right="240" w:firstLine="480" w:firstLineChars="200"/>
        <w:rPr>
          <w:rFonts w:hint="eastAsia" w:ascii="Times New Roman" w:eastAsiaTheme="minorEastAsia"/>
          <w:color w:val="000000" w:themeColor="text1"/>
          <w14:textFill>
            <w14:solidFill>
              <w14:schemeClr w14:val="tx1"/>
            </w14:solidFill>
          </w14:textFill>
        </w:rPr>
      </w:pPr>
    </w:p>
    <w:p w14:paraId="54A14B89">
      <w:pPr>
        <w:pStyle w:val="4"/>
        <w:spacing w:before="132" w:line="242" w:lineRule="auto"/>
        <w:ind w:left="120" w:right="240" w:firstLine="480" w:firstLineChars="200"/>
        <w:rPr>
          <w:rFonts w:hint="eastAsia" w:ascii="Times New Roman" w:eastAsiaTheme="minorEastAsia"/>
          <w:color w:val="000000" w:themeColor="text1"/>
          <w14:textFill>
            <w14:solidFill>
              <w14:schemeClr w14:val="tx1"/>
            </w14:solidFill>
          </w14:textFill>
        </w:rPr>
      </w:pPr>
    </w:p>
    <w:p w14:paraId="4C8A0ADC">
      <w:pPr>
        <w:pStyle w:val="2"/>
        <w:numPr>
          <w:ilvl w:val="0"/>
          <w:numId w:val="1"/>
        </w:numPr>
        <w:tabs>
          <w:tab w:val="left" w:pos="542"/>
        </w:tabs>
        <w:spacing w:before="1"/>
        <w:ind w:hanging="422"/>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下一步的改进计划</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0"/>
        <w:gridCol w:w="2917"/>
        <w:gridCol w:w="3099"/>
      </w:tblGrid>
      <w:tr w14:paraId="6A058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5FF178EA">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优先级</w:t>
            </w:r>
          </w:p>
        </w:tc>
        <w:tc>
          <w:tcPr>
            <w:tcW w:w="3135" w:type="dxa"/>
            <w:vAlign w:val="center"/>
          </w:tcPr>
          <w:p w14:paraId="75B2F29D">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拟改进项目</w:t>
            </w:r>
          </w:p>
        </w:tc>
        <w:tc>
          <w:tcPr>
            <w:tcW w:w="3135" w:type="dxa"/>
            <w:vAlign w:val="center"/>
          </w:tcPr>
          <w:p w14:paraId="7E0E2E2E">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实施及验证方式</w:t>
            </w:r>
          </w:p>
        </w:tc>
      </w:tr>
      <w:tr w14:paraId="21A84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3D8A5AF8">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高</w:t>
            </w:r>
          </w:p>
        </w:tc>
        <w:tc>
          <w:tcPr>
            <w:tcW w:w="3135" w:type="dxa"/>
            <w:vAlign w:val="center"/>
          </w:tcPr>
          <w:p w14:paraId="13668D75">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OAuth请求超时、连接异常及回调参数校验</w:t>
            </w:r>
          </w:p>
        </w:tc>
        <w:tc>
          <w:tcPr>
            <w:tcW w:w="3135" w:type="dxa"/>
            <w:vAlign w:val="center"/>
          </w:tcPr>
          <w:p w14:paraId="32296B92">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梳理异常类型与错误响应；补充超时、非法回调、第三方服务不可达测试</w:t>
            </w:r>
          </w:p>
        </w:tc>
      </w:tr>
      <w:tr w14:paraId="7B1D1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614DB863">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高</w:t>
            </w:r>
          </w:p>
        </w:tc>
        <w:tc>
          <w:tcPr>
            <w:tcW w:w="3135" w:type="dxa"/>
            <w:vAlign w:val="center"/>
          </w:tcPr>
          <w:p w14:paraId="366448F7">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账号登录Cookie与注册邮件异常处理</w:t>
            </w:r>
          </w:p>
        </w:tc>
        <w:tc>
          <w:tcPr>
            <w:tcW w:w="3135" w:type="dxa"/>
            <w:vAlign w:val="center"/>
          </w:tcPr>
          <w:p w14:paraId="654C82CC">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审计前端对cookie的依赖后调整HttpOnly/Secure/SameSite；模拟邮件发送失败</w:t>
            </w:r>
          </w:p>
        </w:tc>
      </w:tr>
      <w:tr w14:paraId="09D97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6A6A302D">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高</w:t>
            </w:r>
          </w:p>
        </w:tc>
        <w:tc>
          <w:tcPr>
            <w:tcW w:w="3135" w:type="dxa"/>
            <w:vAlign w:val="center"/>
          </w:tcPr>
          <w:p w14:paraId="4D8D508B">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机器人默认token、部署密钥与敏感配置</w:t>
            </w:r>
          </w:p>
        </w:tc>
        <w:tc>
          <w:tcPr>
            <w:tcW w:w="3135" w:type="dxa"/>
            <w:vAlign w:val="center"/>
          </w:tcPr>
          <w:p w14:paraId="0C546C8E">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迁移为环境变量或受控配置；检查公开仓库是否包含真实凭据并制定轮换方案</w:t>
            </w:r>
          </w:p>
        </w:tc>
      </w:tr>
      <w:tr w14:paraId="3924C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603EF5FE">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中</w:t>
            </w:r>
          </w:p>
        </w:tc>
        <w:tc>
          <w:tcPr>
            <w:tcW w:w="3135" w:type="dxa"/>
            <w:vAlign w:val="center"/>
          </w:tcPr>
          <w:p w14:paraId="0F0013DB">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评论父ID有效性与用户提示</w:t>
            </w:r>
          </w:p>
        </w:tc>
        <w:tc>
          <w:tcPr>
            <w:tcW w:w="3135" w:type="dxa"/>
            <w:vAlign w:val="center"/>
          </w:tcPr>
          <w:p w14:paraId="5E012C50">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为不存在的父评论提供合理错误响应，新增非法ID测试</w:t>
            </w:r>
          </w:p>
        </w:tc>
      </w:tr>
      <w:tr w14:paraId="5A188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645DD26D">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中</w:t>
            </w:r>
          </w:p>
        </w:tc>
        <w:tc>
          <w:tcPr>
            <w:tcW w:w="3135" w:type="dxa"/>
            <w:vAlign w:val="center"/>
          </w:tcPr>
          <w:p w14:paraId="3A449DAA">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文章详情不存在时返回404</w:t>
            </w:r>
          </w:p>
        </w:tc>
        <w:tc>
          <w:tcPr>
            <w:tcW w:w="3135" w:type="dxa"/>
            <w:vAlign w:val="center"/>
          </w:tcPr>
          <w:p w14:paraId="6F07E162">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核查对象读取路径及get_object_or_404使用场景，补充边界测试</w:t>
            </w:r>
          </w:p>
        </w:tc>
      </w:tr>
      <w:tr w14:paraId="73E87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62670269">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中</w:t>
            </w:r>
          </w:p>
        </w:tc>
        <w:tc>
          <w:tcPr>
            <w:tcW w:w="3135" w:type="dxa"/>
            <w:vAlign w:val="center"/>
          </w:tcPr>
          <w:p w14:paraId="70C768C0">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异常日志、宽泛捕获及多余数据库查询</w:t>
            </w:r>
          </w:p>
        </w:tc>
        <w:tc>
          <w:tcPr>
            <w:tcW w:w="3135" w:type="dxa"/>
            <w:vAlign w:val="center"/>
          </w:tcPr>
          <w:p w14:paraId="57BCCE1B">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按函数复核日志与异常边界；使用测试和查询次数对比验证优化</w:t>
            </w:r>
          </w:p>
        </w:tc>
      </w:tr>
      <w:tr w14:paraId="23FD5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598C40A">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中</w:t>
            </w:r>
          </w:p>
        </w:tc>
        <w:tc>
          <w:tcPr>
            <w:tcW w:w="3135" w:type="dxa"/>
            <w:vAlign w:val="center"/>
          </w:tcPr>
          <w:p w14:paraId="3488284D">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补齐单元/集成测试与持续检查</w:t>
            </w:r>
          </w:p>
        </w:tc>
        <w:tc>
          <w:tcPr>
            <w:tcW w:w="3135" w:type="dxa"/>
            <w:vAlign w:val="center"/>
          </w:tcPr>
          <w:p w14:paraId="4ACC2C35">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统一CI中Django check、编译检查、约定工具配置和关键功能回归</w:t>
            </w:r>
          </w:p>
        </w:tc>
      </w:tr>
      <w:tr w14:paraId="5B1AA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B9B82C6">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低</w:t>
            </w:r>
          </w:p>
        </w:tc>
        <w:tc>
          <w:tcPr>
            <w:tcW w:w="3135" w:type="dxa"/>
            <w:vAlign w:val="center"/>
          </w:tcPr>
          <w:p w14:paraId="2AF7D15E">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整理命名、导入、空行与文档字符串</w:t>
            </w:r>
          </w:p>
        </w:tc>
        <w:tc>
          <w:tcPr>
            <w:tcW w:w="3135" w:type="dxa"/>
            <w:vAlign w:val="center"/>
          </w:tcPr>
          <w:p w14:paraId="26E686AB">
            <w:pPr>
              <w:spacing w:line="242" w:lineRule="auto"/>
              <w:rPr>
                <w:rFonts w:hint="eastAsia" w:ascii="Times New Roman" w:eastAsia="Times New Roman"/>
                <w:color w:val="000000" w:themeColor="text1"/>
                <w:spacing w:val="-2"/>
                <w14:textFill>
                  <w14:solidFill>
                    <w14:schemeClr w14:val="tx1"/>
                  </w14:solidFill>
                </w14:textFill>
              </w:rPr>
            </w:pPr>
            <w:r>
              <w:rPr>
                <w:rFonts w:hint="eastAsia" w:ascii="Times New Roman" w:eastAsia="Times New Roman"/>
                <w:color w:val="000000" w:themeColor="text1"/>
                <w:spacing w:val="-2"/>
                <w14:textFill>
                  <w14:solidFill>
                    <w14:schemeClr w14:val="tx1"/>
                  </w14:solidFill>
                </w14:textFill>
              </w:rPr>
              <w:t>在确认迁移和接口兼容性后批量处理低风险样式问题</w:t>
            </w:r>
          </w:p>
        </w:tc>
      </w:tr>
    </w:tbl>
    <w:p w14:paraId="3D4A28E0">
      <w:pPr>
        <w:pStyle w:val="2"/>
        <w:tabs>
          <w:tab w:val="left" w:pos="542"/>
        </w:tabs>
        <w:spacing w:before="1"/>
        <w:ind w:firstLine="0"/>
        <w:rPr>
          <w:rFonts w:hint="eastAsia"/>
          <w:color w:val="000000" w:themeColor="text1"/>
          <w14:textFill>
            <w14:solidFill>
              <w14:schemeClr w14:val="tx1"/>
            </w14:solidFill>
          </w14:textFill>
        </w:rPr>
      </w:pPr>
    </w:p>
    <w:sectPr>
      <w:pgSz w:w="11910" w:h="16840"/>
      <w:pgMar w:top="1460" w:right="1560" w:bottom="280" w:left="1680" w:header="720" w:footer="720" w:gutter="0"/>
      <w:pgBorders>
        <w:top w:val="none" w:sz="0" w:space="0"/>
        <w:left w:val="none" w:sz="0" w:space="0"/>
        <w:bottom w:val="none" w:sz="0" w:space="0"/>
        <w:right w:val="none" w:sz="0" w:space="0"/>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181C74"/>
    <w:multiLevelType w:val="multilevel"/>
    <w:tmpl w:val="01181C74"/>
    <w:lvl w:ilvl="0" w:tentative="0">
      <w:start w:val="1"/>
      <w:numFmt w:val="decimal"/>
      <w:lvlText w:val="%1."/>
      <w:lvlJc w:val="left"/>
      <w:pPr>
        <w:ind w:left="542" w:hanging="423"/>
      </w:pPr>
      <w:rPr>
        <w:rFonts w:hint="default" w:ascii="宋体" w:hAnsi="宋体" w:eastAsia="宋体" w:cs="宋体"/>
        <w:b w:val="0"/>
        <w:bCs w:val="0"/>
        <w:i w:val="0"/>
        <w:iCs w:val="0"/>
        <w:spacing w:val="0"/>
        <w:w w:val="100"/>
        <w:sz w:val="28"/>
        <w:szCs w:val="28"/>
        <w:lang w:val="en-US" w:eastAsia="zh-CN" w:bidi="ar-SA"/>
      </w:rPr>
    </w:lvl>
    <w:lvl w:ilvl="1" w:tentative="0">
      <w:start w:val="1"/>
      <w:numFmt w:val="decimal"/>
      <w:lvlText w:val="%1.%2"/>
      <w:lvlJc w:val="left"/>
      <w:pPr>
        <w:ind w:left="602" w:hanging="483"/>
      </w:pPr>
      <w:rPr>
        <w:rFonts w:hint="default" w:ascii="宋体" w:hAnsi="宋体" w:eastAsia="宋体" w:cs="宋体"/>
        <w:b w:val="0"/>
        <w:bCs w:val="0"/>
        <w:i w:val="0"/>
        <w:iCs w:val="0"/>
        <w:spacing w:val="0"/>
        <w:w w:val="100"/>
        <w:sz w:val="24"/>
        <w:szCs w:val="24"/>
        <w:lang w:val="en-US" w:eastAsia="zh-CN" w:bidi="ar-SA"/>
      </w:rPr>
    </w:lvl>
    <w:lvl w:ilvl="2" w:tentative="0">
      <w:start w:val="0"/>
      <w:numFmt w:val="bullet"/>
      <w:lvlText w:val="•"/>
      <w:lvlJc w:val="left"/>
      <w:pPr>
        <w:ind w:left="1496" w:hanging="483"/>
      </w:pPr>
      <w:rPr>
        <w:rFonts w:hint="default"/>
        <w:lang w:val="en-US" w:eastAsia="zh-CN" w:bidi="ar-SA"/>
      </w:rPr>
    </w:lvl>
    <w:lvl w:ilvl="3" w:tentative="0">
      <w:start w:val="0"/>
      <w:numFmt w:val="bullet"/>
      <w:lvlText w:val="•"/>
      <w:lvlJc w:val="left"/>
      <w:pPr>
        <w:ind w:left="2392" w:hanging="483"/>
      </w:pPr>
      <w:rPr>
        <w:rFonts w:hint="default"/>
        <w:lang w:val="en-US" w:eastAsia="zh-CN" w:bidi="ar-SA"/>
      </w:rPr>
    </w:lvl>
    <w:lvl w:ilvl="4" w:tentative="0">
      <w:start w:val="0"/>
      <w:numFmt w:val="bullet"/>
      <w:lvlText w:val="•"/>
      <w:lvlJc w:val="left"/>
      <w:pPr>
        <w:ind w:left="3288" w:hanging="483"/>
      </w:pPr>
      <w:rPr>
        <w:rFonts w:hint="default"/>
        <w:lang w:val="en-US" w:eastAsia="zh-CN" w:bidi="ar-SA"/>
      </w:rPr>
    </w:lvl>
    <w:lvl w:ilvl="5" w:tentative="0">
      <w:start w:val="0"/>
      <w:numFmt w:val="bullet"/>
      <w:lvlText w:val="•"/>
      <w:lvlJc w:val="left"/>
      <w:pPr>
        <w:ind w:left="4184" w:hanging="483"/>
      </w:pPr>
      <w:rPr>
        <w:rFonts w:hint="default"/>
        <w:lang w:val="en-US" w:eastAsia="zh-CN" w:bidi="ar-SA"/>
      </w:rPr>
    </w:lvl>
    <w:lvl w:ilvl="6" w:tentative="0">
      <w:start w:val="0"/>
      <w:numFmt w:val="bullet"/>
      <w:lvlText w:val="•"/>
      <w:lvlJc w:val="left"/>
      <w:pPr>
        <w:ind w:left="5081" w:hanging="483"/>
      </w:pPr>
      <w:rPr>
        <w:rFonts w:hint="default"/>
        <w:lang w:val="en-US" w:eastAsia="zh-CN" w:bidi="ar-SA"/>
      </w:rPr>
    </w:lvl>
    <w:lvl w:ilvl="7" w:tentative="0">
      <w:start w:val="0"/>
      <w:numFmt w:val="bullet"/>
      <w:lvlText w:val="•"/>
      <w:lvlJc w:val="left"/>
      <w:pPr>
        <w:ind w:left="5977" w:hanging="483"/>
      </w:pPr>
      <w:rPr>
        <w:rFonts w:hint="default"/>
        <w:lang w:val="en-US" w:eastAsia="zh-CN" w:bidi="ar-SA"/>
      </w:rPr>
    </w:lvl>
    <w:lvl w:ilvl="8" w:tentative="0">
      <w:start w:val="0"/>
      <w:numFmt w:val="bullet"/>
      <w:lvlText w:val="•"/>
      <w:lvlJc w:val="left"/>
      <w:pPr>
        <w:ind w:left="6873" w:hanging="483"/>
      </w:pPr>
      <w:rPr>
        <w:rFonts w:hint="default"/>
        <w:lang w:val="en-US" w:eastAsia="zh-CN"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useFELayout/>
    <w:compatSetting w:name="compatibilityMode" w:uri="http://schemas.microsoft.com/office/word" w:val="14"/>
  </w:compat>
  <w:rsids>
    <w:rsidRoot w:val="0092652D"/>
    <w:rsid w:val="00157D0F"/>
    <w:rsid w:val="00187E74"/>
    <w:rsid w:val="002A512A"/>
    <w:rsid w:val="002B01B1"/>
    <w:rsid w:val="00336067"/>
    <w:rsid w:val="00701111"/>
    <w:rsid w:val="0092652D"/>
    <w:rsid w:val="00AF2059"/>
    <w:rsid w:val="00CF0AFC"/>
    <w:rsid w:val="00D55EB4"/>
    <w:rsid w:val="00FA00F4"/>
    <w:rsid w:val="592A3F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宋体" w:hAnsi="宋体" w:eastAsia="宋体" w:cs="宋体"/>
      <w:sz w:val="22"/>
      <w:szCs w:val="22"/>
      <w:lang w:val="en-US" w:eastAsia="zh-CN" w:bidi="ar-SA"/>
    </w:rPr>
  </w:style>
  <w:style w:type="paragraph" w:styleId="2">
    <w:name w:val="heading 1"/>
    <w:basedOn w:val="1"/>
    <w:qFormat/>
    <w:uiPriority w:val="9"/>
    <w:pPr>
      <w:ind w:left="542" w:hanging="422"/>
      <w:outlineLvl w:val="0"/>
    </w:pPr>
    <w:rPr>
      <w:sz w:val="28"/>
      <w:szCs w:val="28"/>
    </w:rPr>
  </w:style>
  <w:style w:type="paragraph" w:styleId="3">
    <w:name w:val="heading 2"/>
    <w:basedOn w:val="1"/>
    <w:next w:val="1"/>
    <w:unhideWhenUsed/>
    <w:qFormat/>
    <w:uiPriority w:val="9"/>
    <w:pPr>
      <w:keepNext/>
      <w:keepLines/>
      <w:spacing w:before="240" w:after="120"/>
      <w:outlineLvl w:val="1"/>
    </w:pPr>
    <w:rPr>
      <w:rFonts w:asciiTheme="majorHAnsi" w:hAnsiTheme="majorHAnsi" w:eastAsiaTheme="majorEastAsia" w:cstheme="majorBidi"/>
      <w:b/>
      <w:bCs/>
      <w:color w:val="114061"/>
      <w:sz w:val="24"/>
      <w:szCs w:val="26"/>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Body Text"/>
    <w:basedOn w:val="1"/>
    <w:link w:val="15"/>
    <w:qFormat/>
    <w:uiPriority w:val="1"/>
    <w:rPr>
      <w:sz w:val="24"/>
      <w:szCs w:val="24"/>
    </w:rPr>
  </w:style>
  <w:style w:type="paragraph" w:styleId="5">
    <w:name w:val="footer"/>
    <w:basedOn w:val="1"/>
    <w:link w:val="17"/>
    <w:unhideWhenUsed/>
    <w:qFormat/>
    <w:uiPriority w:val="99"/>
    <w:pPr>
      <w:tabs>
        <w:tab w:val="center" w:pos="4153"/>
        <w:tab w:val="right" w:pos="8306"/>
      </w:tabs>
      <w:snapToGrid w:val="0"/>
    </w:pPr>
    <w:rPr>
      <w:sz w:val="18"/>
      <w:szCs w:val="18"/>
    </w:rPr>
  </w:style>
  <w:style w:type="paragraph" w:styleId="6">
    <w:name w:val="header"/>
    <w:basedOn w:val="1"/>
    <w:link w:val="16"/>
    <w:unhideWhenUsed/>
    <w:qFormat/>
    <w:uiPriority w:val="99"/>
    <w:pPr>
      <w:tabs>
        <w:tab w:val="center" w:pos="4153"/>
        <w:tab w:val="right" w:pos="8306"/>
      </w:tabs>
      <w:snapToGrid w:val="0"/>
      <w:jc w:val="center"/>
    </w:pPr>
    <w:rPr>
      <w:sz w:val="18"/>
      <w:szCs w:val="18"/>
    </w:rPr>
  </w:style>
  <w:style w:type="paragraph" w:styleId="7">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8">
    <w:name w:val="Title"/>
    <w:basedOn w:val="1"/>
    <w:qFormat/>
    <w:uiPriority w:val="10"/>
    <w:pPr>
      <w:spacing w:line="587" w:lineRule="exact"/>
      <w:ind w:left="2681" w:right="2798"/>
      <w:jc w:val="center"/>
    </w:pPr>
    <w:rPr>
      <w:rFonts w:ascii="微软雅黑" w:hAnsi="微软雅黑" w:eastAsia="微软雅黑" w:cs="微软雅黑"/>
      <w:b/>
      <w:bCs/>
      <w:sz w:val="32"/>
      <w:szCs w:val="32"/>
    </w:rPr>
  </w:style>
  <w:style w:type="table" w:styleId="10">
    <w:name w:val="Table Grid"/>
    <w:basedOn w:val="9"/>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
    <w:name w:val="Table Normal"/>
    <w:semiHidden/>
    <w:unhideWhenUsed/>
    <w:qFormat/>
    <w:uiPriority w:val="2"/>
    <w:tblPr>
      <w:tblCellMar>
        <w:top w:w="0" w:type="dxa"/>
        <w:left w:w="0" w:type="dxa"/>
        <w:bottom w:w="0" w:type="dxa"/>
        <w:right w:w="0" w:type="dxa"/>
      </w:tblCellMar>
    </w:tblPr>
  </w:style>
  <w:style w:type="paragraph" w:styleId="13">
    <w:name w:val="List Paragraph"/>
    <w:basedOn w:val="1"/>
    <w:qFormat/>
    <w:uiPriority w:val="1"/>
    <w:pPr>
      <w:ind w:left="602" w:hanging="482"/>
    </w:pPr>
  </w:style>
  <w:style w:type="paragraph" w:customStyle="1" w:styleId="14">
    <w:name w:val="Table Paragraph"/>
    <w:basedOn w:val="1"/>
    <w:qFormat/>
    <w:uiPriority w:val="1"/>
  </w:style>
  <w:style w:type="character" w:customStyle="1" w:styleId="15">
    <w:name w:val="正文文本 字符"/>
    <w:basedOn w:val="11"/>
    <w:link w:val="4"/>
    <w:uiPriority w:val="1"/>
    <w:rPr>
      <w:rFonts w:ascii="宋体" w:hAnsi="宋体" w:eastAsia="宋体" w:cs="宋体"/>
      <w:sz w:val="24"/>
      <w:szCs w:val="24"/>
      <w:lang w:eastAsia="zh-CN"/>
    </w:rPr>
  </w:style>
  <w:style w:type="character" w:customStyle="1" w:styleId="16">
    <w:name w:val="页眉 字符"/>
    <w:basedOn w:val="11"/>
    <w:link w:val="6"/>
    <w:uiPriority w:val="99"/>
    <w:rPr>
      <w:rFonts w:ascii="宋体" w:hAnsi="宋体" w:eastAsia="宋体" w:cs="宋体"/>
      <w:sz w:val="18"/>
      <w:szCs w:val="18"/>
      <w:lang w:eastAsia="zh-CN"/>
    </w:rPr>
  </w:style>
  <w:style w:type="character" w:customStyle="1" w:styleId="17">
    <w:name w:val="页脚 字符"/>
    <w:basedOn w:val="11"/>
    <w:link w:val="5"/>
    <w:qFormat/>
    <w:uiPriority w:val="99"/>
    <w:rPr>
      <w:rFonts w:ascii="宋体" w:hAnsi="宋体" w:eastAsia="宋体" w:cs="宋体"/>
      <w:sz w:val="18"/>
      <w:szCs w:val="18"/>
      <w:lang w:eastAsia="zh-CN"/>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786</Words>
  <Characters>815</Characters>
  <Lines>6</Lines>
  <Paragraphs>1</Paragraphs>
  <TotalTime>1</TotalTime>
  <ScaleCrop>false</ScaleCrop>
  <LinksUpToDate>false</LinksUpToDate>
  <CharactersWithSpaces>815</CharactersWithSpaces>
  <Application>WPS Office_12.1.0.29158_F1E327BC-269C-435d-A152-05C5408002CA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2025-10-27T09:49:00Z</dcterms:created>
  <dc:creator>2442626596@qq.com</dc:creator>
  <cp:lastModifiedBy>全日制崩溃机器（启动中）</cp:lastModifiedBy>
  <dcterms:modified xsi:type="dcterms:W3CDTF">2026-10-27T13:21:54Z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2023-09-20T00:00:00Z</vt:filetime>
  </property>
  <property fmtid="{D5CDD505-2E9C-101B-9397-08002B2CF9AE}" pid="3" name="Creator">
    <vt:lpwstr>WPS 文字</vt:lpwstr>
  </property>
  <property fmtid="{D5CDD505-2E9C-101B-9397-08002B2CF9AE}" pid="4" name="LastSaved">
    <vt:filetime>2025-10-27T00:00:00Z</vt:filetime>
  </property>
  <property fmtid="{D5CDD505-2E9C-101B-9397-08002B2CF9AE}" pid="5" name="SourceModified">
    <vt:lpwstr>D:20230920171048+09'10'</vt:lpwstr>
  </property>
  <property fmtid="{D5CDD505-2E9C-101B-9397-08002B2CF9AE}" pid="6" name="KSOTemplateDocerSaveRecord">
    <vt:lpwstr>eyJoZGlkIjoiNzczYmNjOTllMTljNjA2ZWRiYmJlNGI3ZTAwYjllN2YiLCJ1c2VySWQiOiIxNTk3NjA4NTYwIn0=</vt:lpwstr>
  </property>
  <property fmtid="{D5CDD505-2E9C-101B-9397-08002B2CF9AE}" pid="7" name="KSOProductBuildVer">
    <vt:lpwstr>2052-12.1.0.29158</vt:lpwstr>
  </property>
  <property fmtid="{D5CDD505-2E9C-101B-9397-08002B2CF9AE}" pid="8" name="ICV">
    <vt:lpwstr>E54458ABA37D46C69CC8B7090A7A04D4_12</vt:lpwstr>
  </property>
</Properties>
</file>