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Python语言编码规范</w:t>
      </w:r>
    </w:p>
    <w:p w14:paraId="5E3DD212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11</w:t>
      </w:r>
    </w:p>
    <w:p w14:paraId="0295A1D3">
      <w:pPr>
        <w:jc w:val="center"/>
        <w:rPr>
          <w:rFonts w:hint="default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张嘉怡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顾云舒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郑智洋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郭嘉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孙文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袁汝双</w:t>
      </w:r>
    </w:p>
    <w:p w14:paraId="612F0853">
      <w:pPr>
        <w:jc w:val="center"/>
      </w:pPr>
    </w:p>
    <w:p w14:paraId="68CF8396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规范制定的主要目的</w:t>
      </w:r>
    </w:p>
    <w:p w14:paraId="7D47491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为统一“DjangoBlog电影推荐与影评博客”小组的Python源代码编写、阅读、分析和改进方式，降低多人协作时的理解成本，提升代码的一致性、可读性、可靠性与可维护性，特制定本规范。</w:t>
      </w:r>
    </w:p>
    <w:p w14:paraId="5884878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规范同时作为第7—8周大作业人工代码质量分析、注释补充、问题修复与验证的统一依据。规范优先要求保证原有业务行为稳定，明确区分格式优化与功能修改，并确保每项质量问题都有可核查的代码位置及验证记录。</w:t>
      </w:r>
    </w:p>
    <w:p w14:paraId="47E9F4B6">
      <w:pPr>
        <w:rPr>
          <w:rFonts w:hint="eastAsia"/>
        </w:rPr>
      </w:pPr>
    </w:p>
    <w:p w14:paraId="3E7A767B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规范的适用范围</w:t>
      </w:r>
    </w:p>
    <w:p w14:paraId="49C47C3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规范适用于本小组DjangoBlog项目中的自编写或维护的Python源代码，包括blog、accounts、comments、oauth、servermanager、djangoblog应用内实际存在的.py文件，以及相关测试脚本。以仓库中的实际文件为准，不假定所有Django标准文件必然存在。</w:t>
      </w:r>
    </w:p>
    <w:p w14:paraId="59C153D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三方依赖库、自动生成的迁移文件以及虚拟环境内容原则上不作为直接重构对象；如确有必要修改，应注明原因并评估升级、迁移和兼容性风险。HTML、CSS、JavaScript与数据库脚本不属于本Python编码规范的直接约束范围。</w:t>
      </w:r>
    </w:p>
    <w:p w14:paraId="468C014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本规范主要参考Python PEP 8、PEP 257与Django通行实践；如现有项目约定与一般性建议不一致，先评估兼容性和影响范围，再由小组决定是否统一调整，禁止为机械符合规范而破坏功能。</w:t>
      </w:r>
    </w:p>
    <w:p w14:paraId="15B944C0"/>
    <w:p w14:paraId="4ECB6CB2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规范</w:t>
      </w:r>
    </w:p>
    <w:p w14:paraId="417499D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hint="eastAsia" w:ascii="楷体" w:hAnsi="楷体" w:eastAsia="楷体" w:cs="楷体"/>
          <w:sz w:val="24"/>
          <w:szCs w:val="24"/>
        </w:rPr>
        <w:t xml:space="preserve"> </w:t>
      </w: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3.1 文件组织与编码</w:t>
      </w:r>
    </w:p>
    <w:p w14:paraId="061B8E4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Python源文件统一使用UTF-8编码；单个模块宜聚焦明确职责，避免把无关功能集中在同一文件。</w:t>
      </w:r>
    </w:p>
    <w:p w14:paraId="7DB7B3C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保持项目现有应用目录结构；不得为追求目录整齐随意移动settings、urls、models、views等文件，涉及导入路径的改动应进行完整验证。</w:t>
      </w:r>
    </w:p>
    <w:p w14:paraId="5B73BA3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禁止提交虚拟环境、缓存文件、明文密钥和本机临时配置；本地环境差异应通过现有配置机制处理。</w:t>
      </w:r>
    </w:p>
    <w:p w14:paraId="3F7BA4C4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3.2 命名规则</w:t>
      </w:r>
    </w:p>
    <w:p w14:paraId="5448C992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模块与普通函数、变量采用小写加下划线（snake_case）；类名采用大驼峰（PascalCase）；常量采用全大写加下划线（UPPER_SNAKE_CASE）。</w:t>
      </w:r>
    </w:p>
    <w:p w14:paraId="2B87F9EE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名称应表达业务含义，避免a、temp、data1等难以理解的命名；循环中短暂使用i等通用变量可以例外。</w:t>
      </w:r>
    </w:p>
    <w:p w14:paraId="68096F8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Django模型字段、迁移依赖、URL名称、模板引用与对外接口具有兼容性约束，不得仅为命名好看而直接重命名。</w:t>
      </w:r>
    </w:p>
    <w:p w14:paraId="7AA0253B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3.3 缩进与排版</w:t>
      </w:r>
    </w:p>
    <w:p w14:paraId="2E749FA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每级缩进使用4个空格，不混用Tab；运算符两侧及逗号后合理留空格。</w:t>
      </w:r>
    </w:p>
    <w:p w14:paraId="1DA18C3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建议单行不超过88个字符；项目已采用的格式化标准可保持一致，超长表达式优先使用括号换行，避免反斜杠续行。</w:t>
      </w:r>
    </w:p>
    <w:p w14:paraId="19CDAE3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顶层函数与类之间通常空两行；类中方法之间空一行；删除多余空白，文件末尾保留一个换行符。</w:t>
      </w:r>
    </w:p>
    <w:p w14:paraId="15E13EE2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3.4 导入规范</w:t>
      </w:r>
    </w:p>
    <w:p w14:paraId="07A3589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导入语句原则上放在文件开头，按标准库、第三方库、项目内模块分组，组间留一空行。</w:t>
      </w:r>
    </w:p>
    <w:p w14:paraId="1D025EA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避免使用from xxx import *；删除确定未使用的导入，但对可能具备注册或副作用的导入必须先核实用途。</w:t>
      </w:r>
    </w:p>
    <w:p w14:paraId="17303AB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发现循环导入时，应分析模块依赖再调整，不能简单删除导致应用启动失败。</w:t>
      </w:r>
    </w:p>
    <w:p w14:paraId="305C2602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3.5 注释与文档字符串</w:t>
      </w:r>
    </w:p>
    <w:p w14:paraId="546378A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每名组员新增或修改的个人注释必须以本人姓名缩写开头，格式为“# 缩写: 注释内容”，例如“# zhang: 检查必要的配置项”；该示例仅为格式演示。</w:t>
      </w:r>
    </w:p>
    <w:p w14:paraId="40B11E3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模块级注释应概述模块职责；函数/方法级使用docstring说明用途、重要参数、返回值及异常（适用时）；关键分支、复杂查询或核心代码块使用行内或独立注释解释设计意图。</w:t>
      </w:r>
    </w:p>
    <w:p w14:paraId="50F18A4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注释应说明“为何如此实现”及业务约束，不照抄代码字面含义；注释内容应与实际行为一致，修改逻辑时同步更新注释。</w:t>
      </w:r>
    </w:p>
    <w:p w14:paraId="72F8C4B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为同时满足老师的个人标识要求和Python文档字符串规范，可在模块或函数文档字符串中标注“维护注释：zhang”，并在新增的关键代码注释中使用“# zhang: ...”。不得对每一条普通语句机械加注释。</w:t>
      </w:r>
    </w:p>
    <w:p w14:paraId="027F0AB4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3.6 函数、类与职责划分</w:t>
      </w:r>
    </w:p>
    <w:p w14:paraId="6DD8492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函数宜只承担一项清晰职责，避免过长函数以及不必要的深层嵌套；必要时抽取可复用的辅助函数。</w:t>
      </w:r>
    </w:p>
    <w:p w14:paraId="5CF6C8C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类的方法应围绕类的职责组织；Django模型负责数据定义和合理的领域行为，视图负责请求处理，路由负责URL映射，避免互相混杂。</w:t>
      </w:r>
    </w:p>
    <w:p w14:paraId="579C00E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重构重复逻辑前确认不同调用点的输入、返回值及副作用一致，避免合并后破坏原有业务规则。</w:t>
      </w:r>
    </w:p>
    <w:p w14:paraId="39A42558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3.7 数据处理与异常处理</w:t>
      </w:r>
    </w:p>
    <w:p w14:paraId="7351BA8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对用户提交的数据使用Django表单、模型校验或已有校验逻辑，不信任未验证的外部输入。</w:t>
      </w:r>
    </w:p>
    <w:p w14:paraId="38EFA72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仅捕获能够合理处理的异常，优先使用具体异常类型；避免无提示的except:与pass掩盖问题。</w:t>
      </w:r>
    </w:p>
    <w:p w14:paraId="669B9A5A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异常日志不得直接输出密码、令牌、个人隐私及其他敏感值；异常处理应提供可定位的信息而不向用户暴露内部实现细节。</w:t>
      </w:r>
    </w:p>
    <w:p w14:paraId="66EA985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数据库更新优先使用Django ORM及适当的事务控制；不得拼接未经处理的用户输入构造原生SQL。</w:t>
      </w:r>
    </w:p>
    <w:p w14:paraId="529DF686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3.8 Django专用约定</w:t>
      </w:r>
    </w:p>
    <w:p w14:paraId="24A548E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修改settings.py时优先检查配置项用途与部署影响，敏感密钥、密码和凭据不得硬编码进入公开仓库。</w:t>
      </w:r>
    </w:p>
    <w:p w14:paraId="1066553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修改urls.py时保留已有路由名称、命名空间及URL匹配优先级；涉及重定向、权限和登录状态的改动应验证相应场景。</w:t>
      </w:r>
    </w:p>
    <w:p w14:paraId="39CD6E29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模型调整涉及数据库结构时，必须评估迁移文件及既有数据；视图中的权限判断、CSRF保护等不得为了简化代码而移除。</w:t>
      </w:r>
    </w:p>
    <w:p w14:paraId="7778E46D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对blog、accounts、comments、oauth、servermanager与djangoblog的跨模块调用，仅由负责成员记录问题并交给对应成员协商，未经确认不覆盖他人文件。</w:t>
      </w:r>
    </w:p>
    <w:p w14:paraId="0E1BFE61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3.9 代码质量检查与工具使用</w:t>
      </w:r>
    </w:p>
    <w:p w14:paraId="38B1534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人工检查至少覆盖命名排版、职责设计、重复代码、异常处理、输入校验、可读性及可维护性。</w:t>
      </w:r>
    </w:p>
    <w:p w14:paraId="02582F2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静态工具不同成员应尽可能采用可比较的检查口径。</w:t>
      </w:r>
    </w:p>
    <w:p w14:paraId="4C4426F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工具报警不等于真实缺陷：应记录文件位置、规则或提示内容、人工判断、影响程度及处理决定；不应为追求零告警擅自修改框架行为。</w:t>
      </w:r>
    </w:p>
    <w:p w14:paraId="00CC1965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工具扫描前后应保留必要结果或截图</w:t>
      </w:r>
    </w:p>
    <w:p w14:paraId="4F2E889F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3.10 修改、验证和版本管理</w:t>
      </w:r>
    </w:p>
    <w:p w14:paraId="0915A3B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先阅读与记录问题，再进行最小必要修改；修改前确保有Git提交或备份，不直接覆盖无法恢复的原始版本。</w:t>
      </w:r>
    </w:p>
    <w:p w14:paraId="1D3DEBA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仅在本人分配的应用内修改源码；跨模块问题先向组长反馈，组长与负责人确认后再安排处理。</w:t>
      </w:r>
      <w:bookmarkStart w:id="0" w:name="_GoBack"/>
      <w:bookmarkEnd w:id="0"/>
    </w:p>
    <w:p w14:paraId="7D9659C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格式或注释变更应至少进行语法或启动检查；涉及业务逻辑、权限、数据处理、路由和认证的改动，还应执行针对性的功能验证。</w:t>
      </w:r>
    </w:p>
    <w:p w14:paraId="79FFEBA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Git提交应清楚说明修改范围及目的，不把临时文件、工具缓存或未核实的配置一起提交；组长整合前检查差异及冲突。</w:t>
      </w:r>
    </w:p>
    <w:p w14:paraId="790A0BF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若检查工具或测试无法运行，应客观记录环境与限制，不得将“未测试”写成“测试通过”。</w:t>
      </w:r>
    </w:p>
    <w:p w14:paraId="24FE8537">
      <w:pPr>
        <w:ind w:firstLine="420" w:firstLineChars="0"/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kern w:val="2"/>
          <w:sz w:val="24"/>
          <w:szCs w:val="24"/>
          <w:lang w:val="en-US" w:eastAsia="zh-CN" w:bidi="ar-SA"/>
        </w:rPr>
        <w:t>3.11 交付与记录要求</w:t>
      </w:r>
    </w:p>
    <w:p w14:paraId="2EE038D7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各成员提交实际分析文件清单、带个人标识的注释源码、人工与工具分析记录、质量问题清单、修复情况及验证依据。</w:t>
      </w:r>
    </w:p>
    <w:p w14:paraId="71911EA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问题记录建议包含文件路径、行号或函数、问题描述、风险程度、处理方案、处理状态和验证方法。</w:t>
      </w:r>
    </w:p>
    <w:p w14:paraId="3BE84B7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统计本人新增或维护的注释涉及哪些文件及注释行数；最终以Git差异及成员材料核对，不预填虚构数量。</w:t>
      </w:r>
    </w:p>
    <w:p w14:paraId="5717499C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组长负责统一文档表达、工具口径及最终提交检查；公共编码规范的修订应通知组员，避免不同成员执行不同版本的规则。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6F5D3C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A6A03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4FC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DBA5D6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52</Words>
  <Characters>60</Characters>
  <Lines>1</Lines>
  <Paragraphs>1</Paragraphs>
  <TotalTime>4</TotalTime>
  <ScaleCrop>false</ScaleCrop>
  <LinksUpToDate>false</LinksUpToDate>
  <CharactersWithSpaces>63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12150</cp:lastModifiedBy>
  <dcterms:modified xsi:type="dcterms:W3CDTF">2026-10-26T11:31:02Z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eyJoZGlkIjoiNzczYmNjOTllMTljNjA2ZWRiYmJlNGI3ZTAwYjllN2YiLCJ1c2VySWQiOiIxNTk3NjA4NTYwIn0=</vt:lpwstr>
  </property>
  <property fmtid="{D5CDD505-2E9C-101B-9397-08002B2CF9AE}" pid="4" name="ICV">
    <vt:lpwstr>89E5C1FE8AEC426C8D40935EEA001F77_12</vt:lpwstr>
  </property>
</Properties>
</file>