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EDA" w:rsidRPr="007920B7" w:rsidRDefault="007920B7" w:rsidP="007920B7">
      <w:pPr>
        <w:pStyle w:val="Heading2"/>
        <w:rPr>
          <w:lang w:val="en-US"/>
        </w:rPr>
      </w:pPr>
      <w:bookmarkStart w:id="0" w:name="_GoBack"/>
      <w:r w:rsidRPr="007920B7">
        <w:rPr>
          <w:lang w:val="en-US"/>
        </w:rPr>
        <w:t>System for monitoring and management of the municipal solid waste: a</w:t>
      </w:r>
      <w:r w:rsidR="009C55F3">
        <w:rPr>
          <w:lang w:val="en-US"/>
        </w:rPr>
        <w:t>n</w:t>
      </w:r>
      <w:r w:rsidRPr="007920B7">
        <w:rPr>
          <w:lang w:val="en-US"/>
        </w:rPr>
        <w:t xml:space="preserve"> </w:t>
      </w:r>
      <w:r w:rsidR="009C55F3">
        <w:rPr>
          <w:lang w:val="en-US"/>
        </w:rPr>
        <w:t>application</w:t>
      </w:r>
      <w:r w:rsidRPr="007920B7">
        <w:rPr>
          <w:lang w:val="en-US"/>
        </w:rPr>
        <w:t xml:space="preserve"> for fire safety in railway transportation and waste burial</w:t>
      </w:r>
    </w:p>
    <w:bookmarkEnd w:id="0"/>
    <w:p w:rsidR="00122141" w:rsidRPr="007920B7" w:rsidRDefault="00122141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lang w:val="en-US"/>
        </w:rPr>
      </w:pPr>
    </w:p>
    <w:p w:rsidR="001765B6" w:rsidRPr="007920B7" w:rsidRDefault="001765B6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lang w:val="en-US"/>
        </w:rPr>
      </w:pPr>
    </w:p>
    <w:p w:rsidR="008E7FEA" w:rsidRPr="009C55F3" w:rsidRDefault="00F32858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Introduction</w:t>
      </w:r>
    </w:p>
    <w:p w:rsidR="00D70FB9" w:rsidRPr="005B7AFE" w:rsidRDefault="0045393F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 present</w:t>
      </w:r>
      <w:r w:rsidR="00EE1E40" w:rsidRPr="00EE1E40">
        <w:rPr>
          <w:rFonts w:ascii="Times New Roman" w:hAnsi="Times New Roman" w:cs="Times New Roman"/>
          <w:lang w:val="en-US"/>
        </w:rPr>
        <w:t xml:space="preserve">, </w:t>
      </w:r>
      <w:r w:rsidR="00EE1E40">
        <w:rPr>
          <w:rFonts w:ascii="Times New Roman" w:hAnsi="Times New Roman" w:cs="Times New Roman"/>
          <w:lang w:val="en-US"/>
        </w:rPr>
        <w:t>the</w:t>
      </w:r>
      <w:r w:rsidR="00EE1E40" w:rsidRPr="00EE1E40">
        <w:rPr>
          <w:rFonts w:ascii="Times New Roman" w:hAnsi="Times New Roman" w:cs="Times New Roman"/>
          <w:lang w:val="en-US"/>
        </w:rPr>
        <w:t xml:space="preserve"> </w:t>
      </w:r>
      <w:r w:rsidR="00EE1E40">
        <w:rPr>
          <w:rFonts w:ascii="Times New Roman" w:hAnsi="Times New Roman" w:cs="Times New Roman"/>
          <w:lang w:val="en-US"/>
        </w:rPr>
        <w:t>waste</w:t>
      </w:r>
      <w:r w:rsidR="00EE1E40" w:rsidRPr="00EE1E40">
        <w:rPr>
          <w:rFonts w:ascii="Times New Roman" w:hAnsi="Times New Roman" w:cs="Times New Roman"/>
          <w:lang w:val="en-US"/>
        </w:rPr>
        <w:t xml:space="preserve"> </w:t>
      </w:r>
      <w:r w:rsidR="00EE1E40">
        <w:rPr>
          <w:rFonts w:ascii="Times New Roman" w:hAnsi="Times New Roman" w:cs="Times New Roman"/>
          <w:lang w:val="en-US"/>
        </w:rPr>
        <w:t>management</w:t>
      </w:r>
      <w:r w:rsidR="00EE1E40" w:rsidRPr="00EE1E40">
        <w:rPr>
          <w:rFonts w:ascii="Times New Roman" w:hAnsi="Times New Roman" w:cs="Times New Roman"/>
          <w:lang w:val="en-US"/>
        </w:rPr>
        <w:t xml:space="preserve"> </w:t>
      </w:r>
      <w:r w:rsidR="00EE1E40">
        <w:rPr>
          <w:rFonts w:ascii="Times New Roman" w:hAnsi="Times New Roman" w:cs="Times New Roman"/>
          <w:lang w:val="en-US"/>
        </w:rPr>
        <w:t>become</w:t>
      </w:r>
      <w:r w:rsidR="00EE1E40" w:rsidRPr="00EE1E40">
        <w:rPr>
          <w:rFonts w:ascii="Times New Roman" w:hAnsi="Times New Roman" w:cs="Times New Roman"/>
          <w:lang w:val="en-US"/>
        </w:rPr>
        <w:t xml:space="preserve"> extremely important for industrialized countries. </w:t>
      </w:r>
      <w:r w:rsidR="00EE1E40">
        <w:rPr>
          <w:rFonts w:ascii="Times New Roman" w:hAnsi="Times New Roman" w:cs="Times New Roman"/>
          <w:lang w:val="en-US"/>
        </w:rPr>
        <w:t>However</w:t>
      </w:r>
      <w:r w:rsidR="00EE1E40" w:rsidRPr="006D2AA1">
        <w:rPr>
          <w:rFonts w:ascii="Times New Roman" w:hAnsi="Times New Roman" w:cs="Times New Roman"/>
          <w:lang w:val="en-US"/>
        </w:rPr>
        <w:t xml:space="preserve">, </w:t>
      </w:r>
      <w:r w:rsidR="006D2AA1">
        <w:rPr>
          <w:rFonts w:ascii="Times New Roman" w:hAnsi="Times New Roman" w:cs="Times New Roman"/>
          <w:lang w:val="en-US"/>
        </w:rPr>
        <w:t xml:space="preserve">none of the countries could not completely resolve </w:t>
      </w:r>
      <w:r w:rsidR="00EE1E40">
        <w:rPr>
          <w:rFonts w:ascii="Times New Roman" w:hAnsi="Times New Roman" w:cs="Times New Roman"/>
          <w:lang w:val="en-US"/>
        </w:rPr>
        <w:t>the</w:t>
      </w:r>
      <w:r w:rsidR="00EE1E40" w:rsidRPr="006D2AA1">
        <w:rPr>
          <w:rFonts w:ascii="Times New Roman" w:hAnsi="Times New Roman" w:cs="Times New Roman"/>
          <w:lang w:val="en-US"/>
        </w:rPr>
        <w:t xml:space="preserve"> </w:t>
      </w:r>
      <w:r w:rsidR="00EE1E40">
        <w:rPr>
          <w:rFonts w:ascii="Times New Roman" w:hAnsi="Times New Roman" w:cs="Times New Roman"/>
          <w:lang w:val="en-US"/>
        </w:rPr>
        <w:t>waste</w:t>
      </w:r>
      <w:r w:rsidR="00EE1E40" w:rsidRPr="006D2AA1">
        <w:rPr>
          <w:rFonts w:ascii="Times New Roman" w:hAnsi="Times New Roman" w:cs="Times New Roman"/>
          <w:lang w:val="en-US"/>
        </w:rPr>
        <w:t xml:space="preserve"> </w:t>
      </w:r>
      <w:r w:rsidR="00EE1E40">
        <w:rPr>
          <w:rFonts w:ascii="Times New Roman" w:hAnsi="Times New Roman" w:cs="Times New Roman"/>
          <w:lang w:val="en-US"/>
        </w:rPr>
        <w:t>recycling</w:t>
      </w:r>
      <w:r w:rsidR="00EE1E40" w:rsidRPr="006D2AA1">
        <w:rPr>
          <w:rFonts w:ascii="Times New Roman" w:hAnsi="Times New Roman" w:cs="Times New Roman"/>
          <w:lang w:val="en-US"/>
        </w:rPr>
        <w:t xml:space="preserve"> </w:t>
      </w:r>
      <w:r w:rsidR="00EE1E40">
        <w:rPr>
          <w:rFonts w:ascii="Times New Roman" w:hAnsi="Times New Roman" w:cs="Times New Roman"/>
          <w:lang w:val="en-US"/>
        </w:rPr>
        <w:t>and</w:t>
      </w:r>
      <w:r w:rsidR="00EE1E40" w:rsidRPr="006D2AA1">
        <w:rPr>
          <w:rFonts w:ascii="Times New Roman" w:hAnsi="Times New Roman" w:cs="Times New Roman"/>
          <w:lang w:val="en-US"/>
        </w:rPr>
        <w:t xml:space="preserve"> </w:t>
      </w:r>
      <w:r w:rsidR="00EE1E40">
        <w:rPr>
          <w:rFonts w:ascii="Times New Roman" w:hAnsi="Times New Roman" w:cs="Times New Roman"/>
          <w:lang w:val="en-US"/>
        </w:rPr>
        <w:t>burial</w:t>
      </w:r>
      <w:r w:rsidR="00EE1E40" w:rsidRPr="006D2AA1">
        <w:rPr>
          <w:rFonts w:ascii="Times New Roman" w:hAnsi="Times New Roman" w:cs="Times New Roman"/>
          <w:lang w:val="en-US"/>
        </w:rPr>
        <w:t xml:space="preserve"> </w:t>
      </w:r>
      <w:r w:rsidR="00EE1E40">
        <w:rPr>
          <w:rFonts w:ascii="Times New Roman" w:hAnsi="Times New Roman" w:cs="Times New Roman"/>
          <w:lang w:val="en-US"/>
        </w:rPr>
        <w:t>problems</w:t>
      </w:r>
      <w:r w:rsidR="006D2AA1">
        <w:rPr>
          <w:rFonts w:ascii="Times New Roman" w:hAnsi="Times New Roman" w:cs="Times New Roman"/>
          <w:lang w:val="en-US"/>
        </w:rPr>
        <w:t>.</w:t>
      </w:r>
      <w:r w:rsidR="00D70FB9" w:rsidRPr="005B7AFE">
        <w:rPr>
          <w:rFonts w:ascii="Times New Roman" w:hAnsi="Times New Roman" w:cs="Times New Roman"/>
          <w:lang w:val="en-US"/>
        </w:rPr>
        <w:t xml:space="preserve"> [1-3]. </w:t>
      </w:r>
    </w:p>
    <w:p w:rsidR="00D70FB9" w:rsidRPr="009C55F3" w:rsidRDefault="005B7AFE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most frequently used scenario for managing municipal solid waste (MSW) is the waste burial in landfills. </w:t>
      </w:r>
      <w:r w:rsidR="00CC1869">
        <w:rPr>
          <w:rFonts w:ascii="Times New Roman" w:hAnsi="Times New Roman" w:cs="Times New Roman"/>
          <w:lang w:val="en-US"/>
        </w:rPr>
        <w:t xml:space="preserve">At the same time, </w:t>
      </w:r>
      <w:r w:rsidR="0012764F">
        <w:rPr>
          <w:rFonts w:ascii="Times New Roman" w:hAnsi="Times New Roman" w:cs="Times New Roman"/>
          <w:lang w:val="en-US"/>
        </w:rPr>
        <w:t>increas</w:t>
      </w:r>
      <w:r w:rsidR="00CC1869">
        <w:rPr>
          <w:rFonts w:ascii="Times New Roman" w:hAnsi="Times New Roman" w:cs="Times New Roman"/>
          <w:lang w:val="en-US"/>
        </w:rPr>
        <w:t>ing</w:t>
      </w:r>
      <w:r w:rsidR="0012764F">
        <w:rPr>
          <w:rFonts w:ascii="Times New Roman" w:hAnsi="Times New Roman" w:cs="Times New Roman"/>
          <w:lang w:val="en-US"/>
        </w:rPr>
        <w:t xml:space="preserve"> the number of illegal landfills as well as the legal landfills situated near </w:t>
      </w:r>
      <w:r w:rsidR="0012764F" w:rsidRPr="0012764F">
        <w:rPr>
          <w:rFonts w:ascii="Times New Roman" w:hAnsi="Times New Roman" w:cs="Times New Roman"/>
          <w:lang w:val="en-US"/>
        </w:rPr>
        <w:t>human settlements</w:t>
      </w:r>
      <w:r w:rsidR="0012764F">
        <w:rPr>
          <w:rFonts w:ascii="Times New Roman" w:hAnsi="Times New Roman" w:cs="Times New Roman"/>
          <w:lang w:val="en-US"/>
        </w:rPr>
        <w:t xml:space="preserve"> results in the environmental </w:t>
      </w:r>
      <w:r w:rsidR="00CC1869">
        <w:rPr>
          <w:rFonts w:ascii="Times New Roman" w:hAnsi="Times New Roman" w:cs="Times New Roman"/>
          <w:lang w:val="en-US"/>
        </w:rPr>
        <w:t>degradation and increases the risk of emergencies.</w:t>
      </w:r>
      <w:r w:rsidR="0012764F">
        <w:rPr>
          <w:rFonts w:ascii="Times New Roman" w:hAnsi="Times New Roman" w:cs="Times New Roman"/>
          <w:lang w:val="en-US"/>
        </w:rPr>
        <w:t xml:space="preserve"> </w:t>
      </w:r>
    </w:p>
    <w:p w:rsidR="00D70FB9" w:rsidRPr="009B3243" w:rsidRDefault="00E4068E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</w:t>
      </w:r>
      <w:r w:rsidRPr="00AF622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disposition</w:t>
      </w:r>
      <w:r w:rsidRPr="00AF622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and</w:t>
      </w:r>
      <w:r w:rsidRPr="00AF622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recycling</w:t>
      </w:r>
      <w:r w:rsidRPr="00AF622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MSW</w:t>
      </w:r>
      <w:r w:rsidRPr="00AF622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 w:rsidRPr="00AF6226">
        <w:rPr>
          <w:rFonts w:ascii="Times New Roman" w:hAnsi="Times New Roman" w:cs="Times New Roman"/>
          <w:lang w:val="en-US"/>
        </w:rPr>
        <w:t xml:space="preserve"> </w:t>
      </w:r>
      <w:r w:rsidR="00AF6226">
        <w:rPr>
          <w:rFonts w:ascii="Times New Roman" w:hAnsi="Times New Roman" w:cs="Times New Roman"/>
          <w:lang w:val="en-US"/>
        </w:rPr>
        <w:t>a</w:t>
      </w:r>
      <w:r w:rsidR="00AF6226" w:rsidRPr="00AF622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very</w:t>
      </w:r>
      <w:r w:rsidRPr="00AF622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serious</w:t>
      </w:r>
      <w:r w:rsidRPr="00AF622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problem</w:t>
      </w:r>
      <w:r w:rsidRPr="00AF622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AF6226">
        <w:rPr>
          <w:rFonts w:ascii="Times New Roman" w:hAnsi="Times New Roman" w:cs="Times New Roman"/>
          <w:lang w:val="en-US"/>
        </w:rPr>
        <w:t xml:space="preserve"> </w:t>
      </w:r>
      <w:r w:rsidR="00AF6226">
        <w:rPr>
          <w:rFonts w:ascii="Times New Roman" w:hAnsi="Times New Roman" w:cs="Times New Roman"/>
          <w:lang w:val="en-US"/>
        </w:rPr>
        <w:t>big</w:t>
      </w:r>
      <w:r w:rsidR="00AF6226" w:rsidRPr="00AF6226">
        <w:rPr>
          <w:rFonts w:ascii="Times New Roman" w:hAnsi="Times New Roman" w:cs="Times New Roman"/>
          <w:lang w:val="en-US"/>
        </w:rPr>
        <w:t xml:space="preserve"> </w:t>
      </w:r>
      <w:r w:rsidR="00AF6226">
        <w:rPr>
          <w:rFonts w:ascii="Times New Roman" w:hAnsi="Times New Roman" w:cs="Times New Roman"/>
          <w:lang w:val="en-US"/>
        </w:rPr>
        <w:t>cities</w:t>
      </w:r>
      <w:r w:rsidR="000E0C3D" w:rsidRPr="00AF6226">
        <w:rPr>
          <w:rFonts w:ascii="Times New Roman" w:hAnsi="Times New Roman" w:cs="Times New Roman"/>
          <w:lang w:val="en-US"/>
        </w:rPr>
        <w:t xml:space="preserve"> [4]. </w:t>
      </w:r>
      <w:r w:rsidR="00AF6226">
        <w:rPr>
          <w:rFonts w:ascii="Times New Roman" w:hAnsi="Times New Roman" w:cs="Times New Roman"/>
          <w:lang w:val="en-US"/>
        </w:rPr>
        <w:t>Accounts</w:t>
      </w:r>
      <w:r w:rsidR="00AF6226" w:rsidRPr="00AF6226">
        <w:rPr>
          <w:rFonts w:ascii="Times New Roman" w:hAnsi="Times New Roman" w:cs="Times New Roman"/>
          <w:lang w:val="en-US"/>
        </w:rPr>
        <w:t xml:space="preserve"> </w:t>
      </w:r>
      <w:r w:rsidR="00AF6226">
        <w:rPr>
          <w:rFonts w:ascii="Times New Roman" w:hAnsi="Times New Roman" w:cs="Times New Roman"/>
          <w:lang w:val="en-US"/>
        </w:rPr>
        <w:t>Chamber</w:t>
      </w:r>
      <w:r w:rsidR="00AF6226" w:rsidRPr="00AF6226">
        <w:rPr>
          <w:rFonts w:ascii="Times New Roman" w:hAnsi="Times New Roman" w:cs="Times New Roman"/>
          <w:lang w:val="en-US"/>
        </w:rPr>
        <w:t xml:space="preserve"> </w:t>
      </w:r>
      <w:r w:rsidR="00AF6226">
        <w:rPr>
          <w:rFonts w:ascii="Times New Roman" w:hAnsi="Times New Roman" w:cs="Times New Roman"/>
          <w:lang w:val="en-US"/>
        </w:rPr>
        <w:t>of</w:t>
      </w:r>
      <w:r w:rsidR="00AF6226" w:rsidRPr="00AF6226">
        <w:rPr>
          <w:rFonts w:ascii="Times New Roman" w:hAnsi="Times New Roman" w:cs="Times New Roman"/>
          <w:lang w:val="en-US"/>
        </w:rPr>
        <w:t xml:space="preserve"> </w:t>
      </w:r>
      <w:r w:rsidR="00AF6226">
        <w:rPr>
          <w:rFonts w:ascii="Times New Roman" w:hAnsi="Times New Roman" w:cs="Times New Roman"/>
          <w:lang w:val="en-US"/>
        </w:rPr>
        <w:t>Russia</w:t>
      </w:r>
      <w:r w:rsidR="00AF6226" w:rsidRPr="00AF6226">
        <w:rPr>
          <w:rFonts w:ascii="Times New Roman" w:hAnsi="Times New Roman" w:cs="Times New Roman"/>
          <w:lang w:val="en-US"/>
        </w:rPr>
        <w:t xml:space="preserve"> </w:t>
      </w:r>
      <w:r w:rsidR="00AF6226">
        <w:rPr>
          <w:rFonts w:ascii="Times New Roman" w:hAnsi="Times New Roman" w:cs="Times New Roman"/>
          <w:lang w:val="en-US"/>
        </w:rPr>
        <w:t>reported</w:t>
      </w:r>
      <w:r w:rsidR="00AF6226" w:rsidRPr="00AF6226">
        <w:rPr>
          <w:rFonts w:ascii="Times New Roman" w:hAnsi="Times New Roman" w:cs="Times New Roman"/>
          <w:lang w:val="en-US"/>
        </w:rPr>
        <w:t xml:space="preserve"> </w:t>
      </w:r>
      <w:r w:rsidR="00AF6226">
        <w:rPr>
          <w:rFonts w:ascii="Times New Roman" w:hAnsi="Times New Roman" w:cs="Times New Roman"/>
          <w:lang w:val="en-US"/>
        </w:rPr>
        <w:t>that</w:t>
      </w:r>
      <w:r w:rsidR="00AF6226" w:rsidRPr="00AF6226">
        <w:rPr>
          <w:rFonts w:ascii="Times New Roman" w:hAnsi="Times New Roman" w:cs="Times New Roman"/>
          <w:lang w:val="en-US"/>
        </w:rPr>
        <w:t xml:space="preserve"> 65 </w:t>
      </w:r>
      <w:r w:rsidR="00AF6226">
        <w:rPr>
          <w:rFonts w:ascii="Times New Roman" w:hAnsi="Times New Roman" w:cs="Times New Roman"/>
          <w:lang w:val="en-US"/>
        </w:rPr>
        <w:t>million</w:t>
      </w:r>
      <w:r w:rsidR="00AF6226" w:rsidRPr="00AF6226">
        <w:rPr>
          <w:rFonts w:ascii="Times New Roman" w:hAnsi="Times New Roman" w:cs="Times New Roman"/>
          <w:lang w:val="en-US"/>
        </w:rPr>
        <w:t xml:space="preserve"> </w:t>
      </w:r>
      <w:r w:rsidR="00AF6226">
        <w:rPr>
          <w:rFonts w:ascii="Times New Roman" w:hAnsi="Times New Roman" w:cs="Times New Roman"/>
          <w:lang w:val="en-US"/>
        </w:rPr>
        <w:t>tons</w:t>
      </w:r>
      <w:r w:rsidR="00AF6226" w:rsidRPr="00AF6226">
        <w:rPr>
          <w:rFonts w:ascii="Times New Roman" w:hAnsi="Times New Roman" w:cs="Times New Roman"/>
          <w:lang w:val="en-US"/>
        </w:rPr>
        <w:t xml:space="preserve"> </w:t>
      </w:r>
      <w:r w:rsidR="00AF6226">
        <w:rPr>
          <w:rFonts w:ascii="Times New Roman" w:hAnsi="Times New Roman" w:cs="Times New Roman"/>
          <w:lang w:val="en-US"/>
        </w:rPr>
        <w:t>(or 450 kg per a person) of</w:t>
      </w:r>
      <w:r w:rsidR="00AF6226" w:rsidRPr="00AF6226">
        <w:rPr>
          <w:rFonts w:ascii="Times New Roman" w:hAnsi="Times New Roman" w:cs="Times New Roman"/>
          <w:lang w:val="en-US"/>
        </w:rPr>
        <w:t xml:space="preserve"> </w:t>
      </w:r>
      <w:r w:rsidR="00AF6226">
        <w:rPr>
          <w:rFonts w:ascii="Times New Roman" w:hAnsi="Times New Roman" w:cs="Times New Roman"/>
          <w:lang w:val="en-US"/>
        </w:rPr>
        <w:t>MSW</w:t>
      </w:r>
      <w:r w:rsidR="00AF6226" w:rsidRPr="00AF6226">
        <w:rPr>
          <w:rFonts w:ascii="Times New Roman" w:hAnsi="Times New Roman" w:cs="Times New Roman"/>
          <w:lang w:val="en-US"/>
        </w:rPr>
        <w:t xml:space="preserve"> </w:t>
      </w:r>
      <w:r w:rsidR="00AF6226">
        <w:rPr>
          <w:rFonts w:ascii="Times New Roman" w:hAnsi="Times New Roman" w:cs="Times New Roman"/>
          <w:lang w:val="en-US"/>
        </w:rPr>
        <w:t>had</w:t>
      </w:r>
      <w:r w:rsidR="00AF6226" w:rsidRPr="00AF6226">
        <w:rPr>
          <w:rFonts w:ascii="Times New Roman" w:hAnsi="Times New Roman" w:cs="Times New Roman"/>
          <w:lang w:val="en-US"/>
        </w:rPr>
        <w:t xml:space="preserve"> </w:t>
      </w:r>
      <w:r w:rsidR="00AF6226">
        <w:rPr>
          <w:rFonts w:ascii="Times New Roman" w:hAnsi="Times New Roman" w:cs="Times New Roman"/>
          <w:lang w:val="en-US"/>
        </w:rPr>
        <w:t>been</w:t>
      </w:r>
      <w:r w:rsidR="00AF6226" w:rsidRPr="00AF6226">
        <w:rPr>
          <w:rFonts w:ascii="Times New Roman" w:hAnsi="Times New Roman" w:cs="Times New Roman"/>
          <w:lang w:val="en-US"/>
        </w:rPr>
        <w:t xml:space="preserve"> </w:t>
      </w:r>
      <w:r w:rsidR="002C5C0A">
        <w:rPr>
          <w:rFonts w:ascii="Times New Roman" w:hAnsi="Times New Roman" w:cs="Times New Roman"/>
          <w:lang w:val="en-US"/>
        </w:rPr>
        <w:t xml:space="preserve">produced </w:t>
      </w:r>
      <w:r w:rsidR="00AF6226">
        <w:rPr>
          <w:rFonts w:ascii="Times New Roman" w:hAnsi="Times New Roman" w:cs="Times New Roman"/>
          <w:lang w:val="en-US"/>
        </w:rPr>
        <w:t>in</w:t>
      </w:r>
      <w:r w:rsidR="00AF6226" w:rsidRPr="00AF6226">
        <w:rPr>
          <w:rFonts w:ascii="Times New Roman" w:hAnsi="Times New Roman" w:cs="Times New Roman"/>
          <w:lang w:val="en-US"/>
        </w:rPr>
        <w:t xml:space="preserve"> 2019</w:t>
      </w:r>
      <w:r w:rsidR="00556EAB">
        <w:rPr>
          <w:rFonts w:ascii="Times New Roman" w:hAnsi="Times New Roman" w:cs="Times New Roman"/>
          <w:lang w:val="en-US"/>
        </w:rPr>
        <w:t xml:space="preserve">. The major part of MSW (about 90%) is sent to landfills. </w:t>
      </w:r>
      <w:r w:rsidR="002C5C0A">
        <w:rPr>
          <w:rFonts w:ascii="Times New Roman" w:hAnsi="Times New Roman" w:cs="Times New Roman"/>
          <w:lang w:val="en-US"/>
        </w:rPr>
        <w:t>The</w:t>
      </w:r>
      <w:r w:rsidR="002C5C0A" w:rsidRPr="002C5C0A">
        <w:rPr>
          <w:rFonts w:ascii="Times New Roman" w:hAnsi="Times New Roman" w:cs="Times New Roman"/>
          <w:lang w:val="en-US"/>
        </w:rPr>
        <w:t xml:space="preserve"> </w:t>
      </w:r>
      <w:r w:rsidR="002C5C0A">
        <w:rPr>
          <w:rFonts w:ascii="Times New Roman" w:hAnsi="Times New Roman" w:cs="Times New Roman"/>
          <w:lang w:val="en-US"/>
        </w:rPr>
        <w:t>treatment</w:t>
      </w:r>
      <w:r w:rsidR="002C5C0A" w:rsidRPr="002C5C0A">
        <w:rPr>
          <w:rFonts w:ascii="Times New Roman" w:hAnsi="Times New Roman" w:cs="Times New Roman"/>
          <w:lang w:val="en-US"/>
        </w:rPr>
        <w:t xml:space="preserve"> </w:t>
      </w:r>
      <w:r w:rsidR="002C5C0A">
        <w:rPr>
          <w:rFonts w:ascii="Times New Roman" w:hAnsi="Times New Roman" w:cs="Times New Roman"/>
          <w:lang w:val="en-US"/>
        </w:rPr>
        <w:t>plants</w:t>
      </w:r>
      <w:r w:rsidR="002C5C0A" w:rsidRPr="002C5C0A">
        <w:rPr>
          <w:rFonts w:ascii="Times New Roman" w:hAnsi="Times New Roman" w:cs="Times New Roman"/>
          <w:lang w:val="en-US"/>
        </w:rPr>
        <w:t xml:space="preserve"> </w:t>
      </w:r>
      <w:r w:rsidR="009B3243">
        <w:rPr>
          <w:rFonts w:ascii="Times New Roman" w:hAnsi="Times New Roman" w:cs="Times New Roman"/>
          <w:lang w:val="en-US"/>
        </w:rPr>
        <w:t xml:space="preserve">can </w:t>
      </w:r>
      <w:r w:rsidR="002C5C0A">
        <w:rPr>
          <w:rFonts w:ascii="Times New Roman" w:hAnsi="Times New Roman" w:cs="Times New Roman"/>
          <w:lang w:val="en-US"/>
        </w:rPr>
        <w:t>process</w:t>
      </w:r>
      <w:r w:rsidR="002C5C0A" w:rsidRPr="002C5C0A">
        <w:rPr>
          <w:rFonts w:ascii="Times New Roman" w:hAnsi="Times New Roman" w:cs="Times New Roman"/>
          <w:lang w:val="en-US"/>
        </w:rPr>
        <w:t xml:space="preserve"> </w:t>
      </w:r>
      <w:r w:rsidR="002C5C0A">
        <w:rPr>
          <w:rFonts w:ascii="Times New Roman" w:hAnsi="Times New Roman" w:cs="Times New Roman"/>
          <w:lang w:val="en-US"/>
        </w:rPr>
        <w:t>o</w:t>
      </w:r>
      <w:r w:rsidR="00556EAB">
        <w:rPr>
          <w:rFonts w:ascii="Times New Roman" w:hAnsi="Times New Roman" w:cs="Times New Roman"/>
          <w:lang w:val="en-US"/>
        </w:rPr>
        <w:t>nly</w:t>
      </w:r>
      <w:r w:rsidR="00556EAB" w:rsidRPr="002C5C0A">
        <w:rPr>
          <w:rFonts w:ascii="Times New Roman" w:hAnsi="Times New Roman" w:cs="Times New Roman"/>
          <w:lang w:val="en-US"/>
        </w:rPr>
        <w:t xml:space="preserve"> 7% </w:t>
      </w:r>
      <w:r w:rsidR="00556EAB">
        <w:rPr>
          <w:rFonts w:ascii="Times New Roman" w:hAnsi="Times New Roman" w:cs="Times New Roman"/>
          <w:lang w:val="en-US"/>
        </w:rPr>
        <w:t>of</w:t>
      </w:r>
      <w:r w:rsidR="00556EAB" w:rsidRPr="002C5C0A">
        <w:rPr>
          <w:rFonts w:ascii="Times New Roman" w:hAnsi="Times New Roman" w:cs="Times New Roman"/>
          <w:lang w:val="en-US"/>
        </w:rPr>
        <w:t xml:space="preserve"> </w:t>
      </w:r>
      <w:r w:rsidR="00556EAB">
        <w:rPr>
          <w:rFonts w:ascii="Times New Roman" w:hAnsi="Times New Roman" w:cs="Times New Roman"/>
          <w:lang w:val="en-US"/>
        </w:rPr>
        <w:t>waste</w:t>
      </w:r>
      <w:r w:rsidR="002C5C0A" w:rsidRPr="002C5C0A">
        <w:rPr>
          <w:rFonts w:ascii="Times New Roman" w:hAnsi="Times New Roman" w:cs="Times New Roman"/>
          <w:lang w:val="en-US"/>
        </w:rPr>
        <w:t xml:space="preserve"> that is caused by a poor infrastructure for </w:t>
      </w:r>
      <w:r w:rsidR="002C5C0A">
        <w:rPr>
          <w:rFonts w:ascii="Times New Roman" w:hAnsi="Times New Roman" w:cs="Times New Roman"/>
          <w:lang w:val="en-US"/>
        </w:rPr>
        <w:t xml:space="preserve">transportation, </w:t>
      </w:r>
      <w:r w:rsidR="002C5C0A" w:rsidRPr="002C5C0A">
        <w:rPr>
          <w:rFonts w:ascii="Times New Roman" w:hAnsi="Times New Roman" w:cs="Times New Roman"/>
          <w:lang w:val="en-US"/>
        </w:rPr>
        <w:t xml:space="preserve">collecting, safe saving, </w:t>
      </w:r>
      <w:r w:rsidR="002C5C0A">
        <w:rPr>
          <w:rFonts w:ascii="Times New Roman" w:hAnsi="Times New Roman" w:cs="Times New Roman"/>
          <w:lang w:val="en-US"/>
        </w:rPr>
        <w:t>and processing MSW. This</w:t>
      </w:r>
      <w:r w:rsidR="002C5C0A" w:rsidRPr="009B3243">
        <w:rPr>
          <w:rFonts w:ascii="Times New Roman" w:hAnsi="Times New Roman" w:cs="Times New Roman"/>
          <w:lang w:val="en-US"/>
        </w:rPr>
        <w:t xml:space="preserve"> </w:t>
      </w:r>
      <w:r w:rsidR="002C5C0A">
        <w:rPr>
          <w:rFonts w:ascii="Times New Roman" w:hAnsi="Times New Roman" w:cs="Times New Roman"/>
          <w:lang w:val="en-US"/>
        </w:rPr>
        <w:t>situation</w:t>
      </w:r>
      <w:r w:rsidR="002C5C0A" w:rsidRPr="009B3243">
        <w:rPr>
          <w:rFonts w:ascii="Times New Roman" w:hAnsi="Times New Roman" w:cs="Times New Roman"/>
          <w:lang w:val="en-US"/>
        </w:rPr>
        <w:t xml:space="preserve"> </w:t>
      </w:r>
      <w:r w:rsidR="002C5C0A">
        <w:rPr>
          <w:rFonts w:ascii="Times New Roman" w:hAnsi="Times New Roman" w:cs="Times New Roman"/>
          <w:lang w:val="en-US"/>
        </w:rPr>
        <w:t>is</w:t>
      </w:r>
      <w:r w:rsidR="002C5C0A" w:rsidRPr="009B3243">
        <w:rPr>
          <w:rFonts w:ascii="Times New Roman" w:hAnsi="Times New Roman" w:cs="Times New Roman"/>
          <w:lang w:val="en-US"/>
        </w:rPr>
        <w:t xml:space="preserve"> </w:t>
      </w:r>
      <w:r w:rsidR="002C5C0A">
        <w:rPr>
          <w:rFonts w:ascii="Times New Roman" w:hAnsi="Times New Roman" w:cs="Times New Roman"/>
          <w:lang w:val="en-US"/>
        </w:rPr>
        <w:t>considered</w:t>
      </w:r>
      <w:r w:rsidR="002C5C0A" w:rsidRPr="009B3243">
        <w:rPr>
          <w:rFonts w:ascii="Times New Roman" w:hAnsi="Times New Roman" w:cs="Times New Roman"/>
          <w:lang w:val="en-US"/>
        </w:rPr>
        <w:t xml:space="preserve"> </w:t>
      </w:r>
      <w:r w:rsidR="002C5C0A">
        <w:rPr>
          <w:rFonts w:ascii="Times New Roman" w:hAnsi="Times New Roman" w:cs="Times New Roman"/>
          <w:lang w:val="en-US"/>
        </w:rPr>
        <w:t>to</w:t>
      </w:r>
      <w:r w:rsidR="002C5C0A" w:rsidRPr="009B3243">
        <w:rPr>
          <w:rFonts w:ascii="Times New Roman" w:hAnsi="Times New Roman" w:cs="Times New Roman"/>
          <w:lang w:val="en-US"/>
        </w:rPr>
        <w:t xml:space="preserve"> </w:t>
      </w:r>
      <w:r w:rsidR="002C5C0A">
        <w:rPr>
          <w:rFonts w:ascii="Times New Roman" w:hAnsi="Times New Roman" w:cs="Times New Roman"/>
          <w:lang w:val="en-US"/>
        </w:rPr>
        <w:t>be</w:t>
      </w:r>
      <w:r w:rsidR="002C5C0A" w:rsidRPr="009B3243">
        <w:rPr>
          <w:rFonts w:ascii="Times New Roman" w:hAnsi="Times New Roman" w:cs="Times New Roman"/>
          <w:lang w:val="en-US"/>
        </w:rPr>
        <w:t xml:space="preserve"> </w:t>
      </w:r>
      <w:r w:rsidR="002C5C0A">
        <w:rPr>
          <w:rFonts w:ascii="Times New Roman" w:hAnsi="Times New Roman" w:cs="Times New Roman"/>
          <w:lang w:val="en-US"/>
        </w:rPr>
        <w:t>critical</w:t>
      </w:r>
      <w:r w:rsidR="009B3243" w:rsidRPr="009B3243">
        <w:rPr>
          <w:rFonts w:ascii="Times New Roman" w:hAnsi="Times New Roman" w:cs="Times New Roman"/>
          <w:lang w:val="en-US"/>
        </w:rPr>
        <w:t>.</w:t>
      </w:r>
    </w:p>
    <w:p w:rsidR="00D70FB9" w:rsidRPr="009C55F3" w:rsidRDefault="00550C11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</w:t>
      </w:r>
      <w:r w:rsidRPr="00550C1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disposition</w:t>
      </w:r>
      <w:r w:rsidRPr="00550C1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550C1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garbage</w:t>
      </w:r>
      <w:r w:rsidRPr="00550C1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from</w:t>
      </w:r>
      <w:r w:rsidRPr="00550C1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big</w:t>
      </w:r>
      <w:r w:rsidRPr="00550C1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cities</w:t>
      </w:r>
      <w:r w:rsidRPr="00550C1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becomes</w:t>
      </w:r>
      <w:r w:rsidRPr="00550C1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more and more </w:t>
      </w:r>
      <w:r w:rsidR="0003309A">
        <w:rPr>
          <w:rFonts w:ascii="Times New Roman" w:hAnsi="Times New Roman" w:cs="Times New Roman"/>
          <w:lang w:val="en-US"/>
        </w:rPr>
        <w:t>important</w:t>
      </w:r>
      <w:r>
        <w:rPr>
          <w:rFonts w:ascii="Times New Roman" w:hAnsi="Times New Roman" w:cs="Times New Roman"/>
          <w:lang w:val="en-US"/>
        </w:rPr>
        <w:t xml:space="preserve"> challenge. </w:t>
      </w:r>
      <w:r w:rsidR="0003309A">
        <w:rPr>
          <w:rFonts w:ascii="Times New Roman" w:hAnsi="Times New Roman" w:cs="Times New Roman"/>
          <w:lang w:val="en-US"/>
        </w:rPr>
        <w:t>From</w:t>
      </w:r>
      <w:r w:rsidR="0003309A" w:rsidRPr="0003309A">
        <w:rPr>
          <w:rFonts w:ascii="Times New Roman" w:hAnsi="Times New Roman" w:cs="Times New Roman"/>
          <w:lang w:val="en-US"/>
        </w:rPr>
        <w:t xml:space="preserve"> </w:t>
      </w:r>
      <w:r w:rsidR="0003309A">
        <w:rPr>
          <w:rFonts w:ascii="Times New Roman" w:hAnsi="Times New Roman" w:cs="Times New Roman"/>
          <w:lang w:val="en-US"/>
        </w:rPr>
        <w:t>this</w:t>
      </w:r>
      <w:r w:rsidR="0003309A" w:rsidRPr="0003309A">
        <w:rPr>
          <w:rFonts w:ascii="Times New Roman" w:hAnsi="Times New Roman" w:cs="Times New Roman"/>
          <w:lang w:val="en-US"/>
        </w:rPr>
        <w:t xml:space="preserve"> </w:t>
      </w:r>
      <w:r w:rsidR="0003309A">
        <w:rPr>
          <w:rFonts w:ascii="Times New Roman" w:hAnsi="Times New Roman" w:cs="Times New Roman"/>
          <w:lang w:val="en-US"/>
        </w:rPr>
        <w:t>point</w:t>
      </w:r>
      <w:r w:rsidR="0003309A" w:rsidRPr="0003309A">
        <w:rPr>
          <w:rFonts w:ascii="Times New Roman" w:hAnsi="Times New Roman" w:cs="Times New Roman"/>
          <w:lang w:val="en-US"/>
        </w:rPr>
        <w:t xml:space="preserve"> </w:t>
      </w:r>
      <w:r w:rsidR="0003309A">
        <w:rPr>
          <w:rFonts w:ascii="Times New Roman" w:hAnsi="Times New Roman" w:cs="Times New Roman"/>
          <w:lang w:val="en-US"/>
        </w:rPr>
        <w:t>of</w:t>
      </w:r>
      <w:r w:rsidR="0003309A" w:rsidRPr="0003309A">
        <w:rPr>
          <w:rFonts w:ascii="Times New Roman" w:hAnsi="Times New Roman" w:cs="Times New Roman"/>
          <w:lang w:val="en-US"/>
        </w:rPr>
        <w:t xml:space="preserve"> </w:t>
      </w:r>
      <w:r w:rsidR="0003309A">
        <w:rPr>
          <w:rFonts w:ascii="Times New Roman" w:hAnsi="Times New Roman" w:cs="Times New Roman"/>
          <w:lang w:val="en-US"/>
        </w:rPr>
        <w:t>view,</w:t>
      </w:r>
      <w:r w:rsidR="0003309A" w:rsidRPr="0003309A">
        <w:rPr>
          <w:rFonts w:ascii="Times New Roman" w:hAnsi="Times New Roman" w:cs="Times New Roman"/>
          <w:lang w:val="en-US"/>
        </w:rPr>
        <w:t xml:space="preserve"> </w:t>
      </w:r>
      <w:r w:rsidR="0003309A">
        <w:rPr>
          <w:rFonts w:ascii="Times New Roman" w:hAnsi="Times New Roman" w:cs="Times New Roman"/>
          <w:lang w:val="en-US"/>
        </w:rPr>
        <w:t>the</w:t>
      </w:r>
      <w:r w:rsidR="0003309A" w:rsidRPr="0003309A">
        <w:rPr>
          <w:rFonts w:ascii="Times New Roman" w:hAnsi="Times New Roman" w:cs="Times New Roman"/>
          <w:lang w:val="en-US"/>
        </w:rPr>
        <w:t xml:space="preserve"> </w:t>
      </w:r>
      <w:r w:rsidR="0003309A">
        <w:rPr>
          <w:rFonts w:ascii="Times New Roman" w:hAnsi="Times New Roman" w:cs="Times New Roman"/>
          <w:lang w:val="en-US"/>
        </w:rPr>
        <w:t>railroad</w:t>
      </w:r>
      <w:r w:rsidR="0003309A" w:rsidRPr="0003309A">
        <w:rPr>
          <w:rFonts w:ascii="Times New Roman" w:hAnsi="Times New Roman" w:cs="Times New Roman"/>
          <w:lang w:val="en-US"/>
        </w:rPr>
        <w:t xml:space="preserve"> </w:t>
      </w:r>
      <w:r w:rsidR="0003309A">
        <w:rPr>
          <w:rFonts w:ascii="Times New Roman" w:hAnsi="Times New Roman" w:cs="Times New Roman"/>
          <w:lang w:val="en-US"/>
        </w:rPr>
        <w:t>transport</w:t>
      </w:r>
      <w:r w:rsidR="0003309A" w:rsidRPr="0003309A">
        <w:rPr>
          <w:rFonts w:ascii="Times New Roman" w:hAnsi="Times New Roman" w:cs="Times New Roman"/>
          <w:lang w:val="en-US"/>
        </w:rPr>
        <w:t xml:space="preserve"> </w:t>
      </w:r>
      <w:r w:rsidR="0003309A">
        <w:rPr>
          <w:rFonts w:ascii="Times New Roman" w:hAnsi="Times New Roman" w:cs="Times New Roman"/>
          <w:lang w:val="en-US"/>
        </w:rPr>
        <w:t>is</w:t>
      </w:r>
      <w:r w:rsidR="0003309A" w:rsidRPr="0003309A">
        <w:rPr>
          <w:rFonts w:ascii="Times New Roman" w:hAnsi="Times New Roman" w:cs="Times New Roman"/>
          <w:lang w:val="en-US"/>
        </w:rPr>
        <w:t xml:space="preserve"> </w:t>
      </w:r>
      <w:r w:rsidR="0003309A">
        <w:rPr>
          <w:rFonts w:ascii="Times New Roman" w:hAnsi="Times New Roman" w:cs="Times New Roman"/>
          <w:lang w:val="en-US"/>
        </w:rPr>
        <w:t>considered</w:t>
      </w:r>
      <w:r w:rsidR="0003309A" w:rsidRPr="0003309A">
        <w:rPr>
          <w:rFonts w:ascii="Times New Roman" w:hAnsi="Times New Roman" w:cs="Times New Roman"/>
          <w:lang w:val="en-US"/>
        </w:rPr>
        <w:t xml:space="preserve"> </w:t>
      </w:r>
      <w:r w:rsidR="0003309A">
        <w:rPr>
          <w:rFonts w:ascii="Times New Roman" w:hAnsi="Times New Roman" w:cs="Times New Roman"/>
          <w:lang w:val="en-US"/>
        </w:rPr>
        <w:t>to</w:t>
      </w:r>
      <w:r w:rsidR="0003309A" w:rsidRPr="0003309A">
        <w:rPr>
          <w:rFonts w:ascii="Times New Roman" w:hAnsi="Times New Roman" w:cs="Times New Roman"/>
          <w:lang w:val="en-US"/>
        </w:rPr>
        <w:t xml:space="preserve"> </w:t>
      </w:r>
      <w:r w:rsidR="0003309A">
        <w:rPr>
          <w:rFonts w:ascii="Times New Roman" w:hAnsi="Times New Roman" w:cs="Times New Roman"/>
          <w:lang w:val="en-US"/>
        </w:rPr>
        <w:t>be</w:t>
      </w:r>
      <w:r w:rsidR="0003309A" w:rsidRPr="0003309A">
        <w:rPr>
          <w:rFonts w:ascii="Times New Roman" w:hAnsi="Times New Roman" w:cs="Times New Roman"/>
          <w:lang w:val="en-US"/>
        </w:rPr>
        <w:t xml:space="preserve"> </w:t>
      </w:r>
      <w:r w:rsidR="0003309A">
        <w:rPr>
          <w:rFonts w:ascii="Times New Roman" w:hAnsi="Times New Roman" w:cs="Times New Roman"/>
          <w:lang w:val="en-US"/>
        </w:rPr>
        <w:t xml:space="preserve">the safest and perspective for MSW transportation. </w:t>
      </w:r>
      <w:r w:rsidR="00270478" w:rsidRPr="009C55F3">
        <w:rPr>
          <w:rFonts w:ascii="Times New Roman" w:hAnsi="Times New Roman" w:cs="Times New Roman"/>
          <w:lang w:val="en-US"/>
        </w:rPr>
        <w:t>[5</w:t>
      </w:r>
      <w:r w:rsidR="00D70FB9" w:rsidRPr="009C55F3">
        <w:rPr>
          <w:rFonts w:ascii="Times New Roman" w:hAnsi="Times New Roman" w:cs="Times New Roman"/>
          <w:lang w:val="en-US"/>
        </w:rPr>
        <w:t>].</w:t>
      </w:r>
    </w:p>
    <w:p w:rsidR="00491A29" w:rsidRPr="00236E1A" w:rsidRDefault="00695E76" w:rsidP="00491A29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</w:t>
      </w:r>
      <w:r w:rsidRPr="00695E7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technologies</w:t>
      </w:r>
      <w:r w:rsidRPr="00695E7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695E7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MSW</w:t>
      </w:r>
      <w:r w:rsidRPr="00695E7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management</w:t>
      </w:r>
      <w:r w:rsidRPr="00695E7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used</w:t>
      </w:r>
      <w:r w:rsidRPr="00695E7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</w:t>
      </w:r>
      <w:r w:rsidRPr="00695E7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Russia</w:t>
      </w:r>
      <w:r w:rsidRPr="00695E7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have</w:t>
      </w:r>
      <w:r w:rsidRPr="00695E7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 number of</w:t>
      </w:r>
      <w:r w:rsidRPr="00695E76">
        <w:rPr>
          <w:rFonts w:ascii="Times New Roman" w:hAnsi="Times New Roman" w:cs="Times New Roman"/>
          <w:lang w:val="en-US"/>
        </w:rPr>
        <w:t xml:space="preserve"> weaknesses</w:t>
      </w:r>
      <w:r>
        <w:rPr>
          <w:rFonts w:ascii="Times New Roman" w:hAnsi="Times New Roman" w:cs="Times New Roman"/>
          <w:lang w:val="en-US"/>
        </w:rPr>
        <w:t xml:space="preserve">. For example, a system of collecting and analyzing statistical information about MSW does not take into account all sources of MSW. There are no reliable techniques for accounting the quantity of </w:t>
      </w:r>
      <w:r w:rsidR="00FA3948">
        <w:rPr>
          <w:rFonts w:ascii="Times New Roman" w:hAnsi="Times New Roman" w:cs="Times New Roman"/>
          <w:lang w:val="en-US"/>
        </w:rPr>
        <w:t xml:space="preserve">the produced </w:t>
      </w:r>
      <w:r>
        <w:rPr>
          <w:rFonts w:ascii="Times New Roman" w:hAnsi="Times New Roman" w:cs="Times New Roman"/>
          <w:lang w:val="en-US"/>
        </w:rPr>
        <w:t xml:space="preserve">MSW and their properties. </w:t>
      </w:r>
      <w:r w:rsidR="00236E1A">
        <w:rPr>
          <w:rFonts w:ascii="Times New Roman" w:hAnsi="Times New Roman" w:cs="Times New Roman"/>
          <w:lang w:val="en-US"/>
        </w:rPr>
        <w:t>It</w:t>
      </w:r>
      <w:r w:rsidR="00236E1A" w:rsidRPr="00236E1A">
        <w:rPr>
          <w:rFonts w:ascii="Times New Roman" w:hAnsi="Times New Roman" w:cs="Times New Roman"/>
          <w:lang w:val="en-US"/>
        </w:rPr>
        <w:t xml:space="preserve"> </w:t>
      </w:r>
      <w:r w:rsidR="00236E1A">
        <w:rPr>
          <w:rFonts w:ascii="Times New Roman" w:hAnsi="Times New Roman" w:cs="Times New Roman"/>
          <w:lang w:val="en-US"/>
        </w:rPr>
        <w:t>is</w:t>
      </w:r>
      <w:r w:rsidR="00236E1A" w:rsidRPr="00236E1A">
        <w:rPr>
          <w:rFonts w:ascii="Times New Roman" w:hAnsi="Times New Roman" w:cs="Times New Roman"/>
          <w:lang w:val="en-US"/>
        </w:rPr>
        <w:t xml:space="preserve"> </w:t>
      </w:r>
      <w:r w:rsidR="00236E1A">
        <w:rPr>
          <w:rFonts w:ascii="Times New Roman" w:hAnsi="Times New Roman" w:cs="Times New Roman"/>
          <w:lang w:val="en-US"/>
        </w:rPr>
        <w:t>necessary</w:t>
      </w:r>
      <w:r w:rsidR="00236E1A" w:rsidRPr="00236E1A">
        <w:rPr>
          <w:rFonts w:ascii="Times New Roman" w:hAnsi="Times New Roman" w:cs="Times New Roman"/>
          <w:lang w:val="en-US"/>
        </w:rPr>
        <w:t xml:space="preserve"> </w:t>
      </w:r>
      <w:r w:rsidR="00236E1A">
        <w:rPr>
          <w:rFonts w:ascii="Times New Roman" w:hAnsi="Times New Roman" w:cs="Times New Roman"/>
          <w:lang w:val="en-US"/>
        </w:rPr>
        <w:t>to</w:t>
      </w:r>
      <w:r w:rsidR="00236E1A" w:rsidRPr="00236E1A">
        <w:rPr>
          <w:rFonts w:ascii="Times New Roman" w:hAnsi="Times New Roman" w:cs="Times New Roman"/>
          <w:lang w:val="en-US"/>
        </w:rPr>
        <w:t xml:space="preserve"> </w:t>
      </w:r>
      <w:r w:rsidR="00236E1A">
        <w:rPr>
          <w:rFonts w:ascii="Times New Roman" w:hAnsi="Times New Roman" w:cs="Times New Roman"/>
          <w:lang w:val="en-US"/>
        </w:rPr>
        <w:t>pay</w:t>
      </w:r>
      <w:r w:rsidR="00236E1A" w:rsidRPr="00236E1A">
        <w:rPr>
          <w:rFonts w:ascii="Times New Roman" w:hAnsi="Times New Roman" w:cs="Times New Roman"/>
          <w:lang w:val="en-US"/>
        </w:rPr>
        <w:t xml:space="preserve"> </w:t>
      </w:r>
      <w:r w:rsidR="00236E1A">
        <w:rPr>
          <w:rFonts w:ascii="Times New Roman" w:hAnsi="Times New Roman" w:cs="Times New Roman"/>
          <w:lang w:val="en-US"/>
        </w:rPr>
        <w:t>more</w:t>
      </w:r>
      <w:r w:rsidR="00236E1A" w:rsidRPr="00236E1A">
        <w:rPr>
          <w:rFonts w:ascii="Times New Roman" w:hAnsi="Times New Roman" w:cs="Times New Roman"/>
          <w:lang w:val="en-US"/>
        </w:rPr>
        <w:t xml:space="preserve"> </w:t>
      </w:r>
      <w:r w:rsidR="00236E1A">
        <w:rPr>
          <w:rFonts w:ascii="Times New Roman" w:hAnsi="Times New Roman" w:cs="Times New Roman"/>
          <w:lang w:val="en-US"/>
        </w:rPr>
        <w:t>attention</w:t>
      </w:r>
      <w:r w:rsidR="00236E1A" w:rsidRPr="00236E1A">
        <w:rPr>
          <w:rFonts w:ascii="Times New Roman" w:hAnsi="Times New Roman" w:cs="Times New Roman"/>
          <w:lang w:val="en-US"/>
        </w:rPr>
        <w:t xml:space="preserve"> </w:t>
      </w:r>
      <w:r w:rsidR="00236E1A">
        <w:rPr>
          <w:rFonts w:ascii="Times New Roman" w:hAnsi="Times New Roman" w:cs="Times New Roman"/>
          <w:lang w:val="en-US"/>
        </w:rPr>
        <w:t>to</w:t>
      </w:r>
      <w:r w:rsidR="00236E1A" w:rsidRPr="00236E1A">
        <w:rPr>
          <w:rFonts w:ascii="Times New Roman" w:hAnsi="Times New Roman" w:cs="Times New Roman"/>
          <w:lang w:val="en-US"/>
        </w:rPr>
        <w:t xml:space="preserve"> </w:t>
      </w:r>
      <w:r w:rsidR="00236E1A">
        <w:rPr>
          <w:rFonts w:ascii="Times New Roman" w:hAnsi="Times New Roman" w:cs="Times New Roman"/>
          <w:lang w:val="en-US"/>
        </w:rPr>
        <w:t>the fire safety during transportation and processing MSW</w:t>
      </w:r>
      <w:r w:rsidR="00B0747C" w:rsidRPr="00236E1A">
        <w:rPr>
          <w:rFonts w:ascii="Times New Roman" w:hAnsi="Times New Roman" w:cs="Times New Roman"/>
          <w:lang w:val="en-US"/>
        </w:rPr>
        <w:t>.</w:t>
      </w:r>
    </w:p>
    <w:p w:rsidR="00CF7952" w:rsidRDefault="003F3BE0" w:rsidP="00491A29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236E1A" w:rsidRPr="003F3BE0">
        <w:rPr>
          <w:rFonts w:ascii="Times New Roman" w:hAnsi="Times New Roman" w:cs="Times New Roman"/>
          <w:lang w:val="en-US"/>
        </w:rPr>
        <w:t xml:space="preserve"> </w:t>
      </w:r>
      <w:r w:rsidR="00236E1A">
        <w:rPr>
          <w:rFonts w:ascii="Times New Roman" w:hAnsi="Times New Roman" w:cs="Times New Roman"/>
          <w:lang w:val="en-US"/>
        </w:rPr>
        <w:t>lot</w:t>
      </w:r>
      <w:r w:rsidR="00236E1A" w:rsidRPr="003F3BE0">
        <w:rPr>
          <w:rFonts w:ascii="Times New Roman" w:hAnsi="Times New Roman" w:cs="Times New Roman"/>
          <w:lang w:val="en-US"/>
        </w:rPr>
        <w:t xml:space="preserve"> </w:t>
      </w:r>
      <w:r w:rsidR="00236E1A">
        <w:rPr>
          <w:rFonts w:ascii="Times New Roman" w:hAnsi="Times New Roman" w:cs="Times New Roman"/>
          <w:lang w:val="en-US"/>
        </w:rPr>
        <w:t>of</w:t>
      </w:r>
      <w:r w:rsidR="00236E1A" w:rsidRPr="003F3BE0">
        <w:rPr>
          <w:rFonts w:ascii="Times New Roman" w:hAnsi="Times New Roman" w:cs="Times New Roman"/>
          <w:lang w:val="en-US"/>
        </w:rPr>
        <w:t xml:space="preserve"> </w:t>
      </w:r>
      <w:r w:rsidR="00236E1A">
        <w:rPr>
          <w:rFonts w:ascii="Times New Roman" w:hAnsi="Times New Roman" w:cs="Times New Roman"/>
          <w:lang w:val="en-US"/>
        </w:rPr>
        <w:t>fires</w:t>
      </w:r>
      <w:r w:rsidR="00236E1A" w:rsidRPr="003F3BE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took place </w:t>
      </w:r>
      <w:r w:rsidR="00236E1A">
        <w:rPr>
          <w:rFonts w:ascii="Times New Roman" w:hAnsi="Times New Roman" w:cs="Times New Roman"/>
          <w:lang w:val="en-US"/>
        </w:rPr>
        <w:t>at the lan</w:t>
      </w:r>
      <w:r>
        <w:rPr>
          <w:rFonts w:ascii="Times New Roman" w:hAnsi="Times New Roman" w:cs="Times New Roman"/>
          <w:lang w:val="en-US"/>
        </w:rPr>
        <w:t>d</w:t>
      </w:r>
      <w:r w:rsidR="00236E1A">
        <w:rPr>
          <w:rFonts w:ascii="Times New Roman" w:hAnsi="Times New Roman" w:cs="Times New Roman"/>
          <w:lang w:val="en-US"/>
        </w:rPr>
        <w:t>fills</w:t>
      </w:r>
      <w:r>
        <w:rPr>
          <w:rFonts w:ascii="Times New Roman" w:hAnsi="Times New Roman" w:cs="Times New Roman"/>
          <w:lang w:val="en-US"/>
        </w:rPr>
        <w:t xml:space="preserve">. </w:t>
      </w:r>
      <w:r w:rsidR="009C55F3">
        <w:rPr>
          <w:rFonts w:ascii="Times New Roman" w:hAnsi="Times New Roman" w:cs="Times New Roman"/>
          <w:lang w:val="en-US"/>
        </w:rPr>
        <w:t xml:space="preserve">For example, </w:t>
      </w:r>
      <w:r w:rsidR="00536800">
        <w:rPr>
          <w:rFonts w:ascii="Times New Roman" w:hAnsi="Times New Roman" w:cs="Times New Roman"/>
          <w:lang w:val="en-US"/>
        </w:rPr>
        <w:t xml:space="preserve">in last years, </w:t>
      </w:r>
      <w:r w:rsidR="009C55F3">
        <w:rPr>
          <w:rFonts w:ascii="Times New Roman" w:hAnsi="Times New Roman" w:cs="Times New Roman"/>
          <w:lang w:val="en-US"/>
        </w:rPr>
        <w:t>the following important fires occurred in Russia: a fire at the closed landfill (</w:t>
      </w:r>
      <w:proofErr w:type="spellStart"/>
      <w:r w:rsidR="009C55F3">
        <w:rPr>
          <w:rFonts w:ascii="Times New Roman" w:hAnsi="Times New Roman" w:cs="Times New Roman"/>
          <w:lang w:val="en-US"/>
        </w:rPr>
        <w:t>Kamenka</w:t>
      </w:r>
      <w:proofErr w:type="spellEnd"/>
      <w:r w:rsidR="009C55F3">
        <w:rPr>
          <w:rFonts w:ascii="Times New Roman" w:hAnsi="Times New Roman" w:cs="Times New Roman"/>
          <w:lang w:val="en-US"/>
        </w:rPr>
        <w:t xml:space="preserve"> district of </w:t>
      </w:r>
      <w:r w:rsidR="009C55F3" w:rsidRPr="009C55F3">
        <w:rPr>
          <w:rFonts w:ascii="Times New Roman" w:hAnsi="Times New Roman" w:cs="Times New Roman"/>
          <w:lang w:val="en-US"/>
        </w:rPr>
        <w:t>Simferopol</w:t>
      </w:r>
      <w:r w:rsidR="009C55F3">
        <w:rPr>
          <w:rFonts w:ascii="Times New Roman" w:hAnsi="Times New Roman" w:cs="Times New Roman"/>
          <w:lang w:val="en-US"/>
        </w:rPr>
        <w:t xml:space="preserve">, May 2018); a fire in </w:t>
      </w:r>
      <w:proofErr w:type="spellStart"/>
      <w:r w:rsidR="009C55F3">
        <w:rPr>
          <w:rFonts w:ascii="Times New Roman" w:hAnsi="Times New Roman" w:cs="Times New Roman"/>
          <w:lang w:val="en-US"/>
        </w:rPr>
        <w:t>Ivanovka</w:t>
      </w:r>
      <w:proofErr w:type="spellEnd"/>
      <w:r w:rsidR="009C55F3">
        <w:rPr>
          <w:rFonts w:ascii="Times New Roman" w:hAnsi="Times New Roman" w:cs="Times New Roman"/>
          <w:lang w:val="en-US"/>
        </w:rPr>
        <w:t xml:space="preserve"> settlement, Chita region (January 2019); a fire in the landfill near </w:t>
      </w:r>
      <w:proofErr w:type="spellStart"/>
      <w:r w:rsidR="009C55F3">
        <w:rPr>
          <w:rFonts w:ascii="Times New Roman" w:hAnsi="Times New Roman" w:cs="Times New Roman"/>
          <w:lang w:val="en-US"/>
        </w:rPr>
        <w:t>Kamensk-Shakhtinskii</w:t>
      </w:r>
      <w:proofErr w:type="spellEnd"/>
      <w:r w:rsidR="00536800">
        <w:rPr>
          <w:rFonts w:ascii="Times New Roman" w:hAnsi="Times New Roman" w:cs="Times New Roman"/>
          <w:lang w:val="en-US"/>
        </w:rPr>
        <w:t xml:space="preserve"> (April 2020); a fire in the </w:t>
      </w:r>
      <w:proofErr w:type="spellStart"/>
      <w:r w:rsidR="00536800">
        <w:rPr>
          <w:rFonts w:ascii="Times New Roman" w:hAnsi="Times New Roman" w:cs="Times New Roman"/>
          <w:lang w:val="en-US"/>
        </w:rPr>
        <w:t>GavrilovYamskii</w:t>
      </w:r>
      <w:proofErr w:type="spellEnd"/>
      <w:r w:rsidR="00536800">
        <w:rPr>
          <w:rFonts w:ascii="Times New Roman" w:hAnsi="Times New Roman" w:cs="Times New Roman"/>
          <w:lang w:val="en-US"/>
        </w:rPr>
        <w:t xml:space="preserve"> district of the Yaroslavl region (July 2020).</w:t>
      </w:r>
    </w:p>
    <w:p w:rsidR="00536800" w:rsidRPr="00536800" w:rsidRDefault="00536800" w:rsidP="00491A29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CF7952" w:rsidRPr="009C55F3" w:rsidRDefault="00536800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Conception</w:t>
      </w:r>
    </w:p>
    <w:p w:rsidR="003C7454" w:rsidRPr="00DC7A59" w:rsidRDefault="00126F49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Целью системы управления отходами </w:t>
      </w:r>
      <w:r w:rsidR="00065835">
        <w:rPr>
          <w:rFonts w:ascii="Times New Roman" w:hAnsi="Times New Roman" w:cs="Times New Roman"/>
        </w:rPr>
        <w:t xml:space="preserve">является эффективное снижение их вредного влияния на </w:t>
      </w:r>
      <w:r w:rsidR="00D335EE">
        <w:rPr>
          <w:rFonts w:ascii="Times New Roman" w:hAnsi="Times New Roman" w:cs="Times New Roman"/>
        </w:rPr>
        <w:t xml:space="preserve">здоровье </w:t>
      </w:r>
      <w:r w:rsidR="00065835">
        <w:rPr>
          <w:rFonts w:ascii="Times New Roman" w:hAnsi="Times New Roman" w:cs="Times New Roman"/>
        </w:rPr>
        <w:t>человека и окружающую среду.</w:t>
      </w:r>
      <w:r w:rsidR="003C7454" w:rsidRPr="00D335EE">
        <w:rPr>
          <w:rFonts w:ascii="Times New Roman" w:hAnsi="Times New Roman" w:cs="Times New Roman"/>
        </w:rPr>
        <w:t xml:space="preserve"> </w:t>
      </w:r>
      <w:r w:rsidR="00D335EE" w:rsidRPr="00D335EE">
        <w:rPr>
          <w:rFonts w:ascii="Times New Roman" w:hAnsi="Times New Roman" w:cs="Times New Roman"/>
        </w:rPr>
        <w:t xml:space="preserve">При этом </w:t>
      </w:r>
      <w:r w:rsidR="00D335EE">
        <w:rPr>
          <w:rFonts w:ascii="Times New Roman" w:hAnsi="Times New Roman" w:cs="Times New Roman"/>
        </w:rPr>
        <w:t>т</w:t>
      </w:r>
      <w:r w:rsidR="003C7454" w:rsidRPr="003C7454">
        <w:rPr>
          <w:rFonts w:ascii="Times New Roman" w:hAnsi="Times New Roman" w:cs="Times New Roman"/>
        </w:rPr>
        <w:t>ранспортное обслуживание оказывает значи</w:t>
      </w:r>
      <w:r w:rsidR="00D335EE">
        <w:rPr>
          <w:rFonts w:ascii="Times New Roman" w:hAnsi="Times New Roman" w:cs="Times New Roman"/>
        </w:rPr>
        <w:t>тельное влияние на результативность процесса</w:t>
      </w:r>
      <w:r w:rsidR="003C7454" w:rsidRPr="003C7454">
        <w:rPr>
          <w:rFonts w:ascii="Times New Roman" w:hAnsi="Times New Roman" w:cs="Times New Roman"/>
        </w:rPr>
        <w:t>.</w:t>
      </w:r>
      <w:r w:rsidR="003C7454" w:rsidRPr="00DC7A59">
        <w:rPr>
          <w:rFonts w:ascii="Times New Roman" w:hAnsi="Times New Roman" w:cs="Times New Roman"/>
        </w:rPr>
        <w:t xml:space="preserve"> </w:t>
      </w:r>
      <w:r w:rsidR="00DC7A59">
        <w:rPr>
          <w:rFonts w:ascii="Times New Roman" w:hAnsi="Times New Roman" w:cs="Times New Roman"/>
        </w:rPr>
        <w:t xml:space="preserve">Необходим системный подход к организации </w:t>
      </w:r>
      <w:r w:rsidR="00D335EE" w:rsidRPr="00DC7A59">
        <w:rPr>
          <w:rFonts w:ascii="Times New Roman" w:hAnsi="Times New Roman" w:cs="Times New Roman"/>
        </w:rPr>
        <w:t xml:space="preserve">системы </w:t>
      </w:r>
      <w:r w:rsidR="00DC7A59" w:rsidRPr="00DC7A59">
        <w:rPr>
          <w:rFonts w:ascii="Times New Roman" w:hAnsi="Times New Roman" w:cs="Times New Roman"/>
        </w:rPr>
        <w:t xml:space="preserve">управления </w:t>
      </w:r>
      <w:r w:rsidR="00D335EE" w:rsidRPr="00DC7A59">
        <w:rPr>
          <w:rFonts w:ascii="Times New Roman" w:hAnsi="Times New Roman" w:cs="Times New Roman"/>
        </w:rPr>
        <w:t xml:space="preserve">ТКО при перевозке на железнодорожном транспорте </w:t>
      </w:r>
      <w:r w:rsidR="00342103">
        <w:rPr>
          <w:rFonts w:ascii="Times New Roman" w:hAnsi="Times New Roman" w:cs="Times New Roman"/>
        </w:rPr>
        <w:t>(</w:t>
      </w:r>
      <w:r w:rsidR="00D335EE" w:rsidRPr="00DC7A59">
        <w:rPr>
          <w:rFonts w:ascii="Times New Roman" w:hAnsi="Times New Roman" w:cs="Times New Roman"/>
        </w:rPr>
        <w:t>Рис. 1</w:t>
      </w:r>
      <w:r w:rsidR="00342103">
        <w:rPr>
          <w:rFonts w:ascii="Times New Roman" w:hAnsi="Times New Roman" w:cs="Times New Roman"/>
        </w:rPr>
        <w:t>)</w:t>
      </w:r>
      <w:r w:rsidR="00D335EE" w:rsidRPr="00DC7A59">
        <w:rPr>
          <w:rFonts w:ascii="Times New Roman" w:hAnsi="Times New Roman" w:cs="Times New Roman"/>
        </w:rPr>
        <w:t xml:space="preserve">. </w:t>
      </w:r>
    </w:p>
    <w:p w:rsidR="00126F49" w:rsidRPr="00F5594B" w:rsidRDefault="00126F49" w:rsidP="00F5594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DAA8D1B" wp14:editId="12F42EFC">
            <wp:extent cx="5943600" cy="4905375"/>
            <wp:effectExtent l="0" t="0" r="0" b="9525"/>
            <wp:docPr id="1" name="Рисунок 1" descr="C:\Users\lyuda\Documents\Людочка\Статьи новые\Литература\eWa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uda\Documents\Людочка\Статьи новые\Литература\eWas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C3D" w:rsidRPr="009C55F3" w:rsidRDefault="00D87204" w:rsidP="00F5594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Figure</w:t>
      </w:r>
      <w:r w:rsidR="00D25C3D" w:rsidRPr="009C55F3">
        <w:rPr>
          <w:rFonts w:ascii="Times New Roman" w:hAnsi="Times New Roman" w:cs="Times New Roman"/>
          <w:lang w:val="en-US"/>
        </w:rPr>
        <w:t xml:space="preserve"> 1. </w:t>
      </w:r>
      <w:r w:rsidR="002D60F3">
        <w:rPr>
          <w:rFonts w:ascii="Times New Roman" w:hAnsi="Times New Roman" w:cs="Times New Roman"/>
          <w:lang w:val="en-US"/>
        </w:rPr>
        <w:t>MSW</w:t>
      </w:r>
      <w:r w:rsidR="002D60F3" w:rsidRPr="009C55F3">
        <w:rPr>
          <w:rFonts w:ascii="Times New Roman" w:hAnsi="Times New Roman" w:cs="Times New Roman"/>
          <w:lang w:val="en-US"/>
        </w:rPr>
        <w:t xml:space="preserve"> </w:t>
      </w:r>
      <w:r w:rsidR="002D60F3">
        <w:rPr>
          <w:rFonts w:ascii="Times New Roman" w:hAnsi="Times New Roman" w:cs="Times New Roman"/>
          <w:lang w:val="en-US"/>
        </w:rPr>
        <w:t>management</w:t>
      </w:r>
      <w:r w:rsidR="002D60F3" w:rsidRPr="009C55F3">
        <w:rPr>
          <w:rFonts w:ascii="Times New Roman" w:hAnsi="Times New Roman" w:cs="Times New Roman"/>
          <w:lang w:val="en-US"/>
        </w:rPr>
        <w:t xml:space="preserve"> </w:t>
      </w:r>
      <w:r w:rsidR="002D60F3">
        <w:rPr>
          <w:rFonts w:ascii="Times New Roman" w:hAnsi="Times New Roman" w:cs="Times New Roman"/>
          <w:lang w:val="en-US"/>
        </w:rPr>
        <w:t>system</w:t>
      </w:r>
      <w:r w:rsidR="002D60F3" w:rsidRPr="009C55F3">
        <w:rPr>
          <w:rFonts w:ascii="Times New Roman" w:hAnsi="Times New Roman" w:cs="Times New Roman"/>
          <w:lang w:val="en-US"/>
        </w:rPr>
        <w:t xml:space="preserve"> </w:t>
      </w:r>
      <w:r w:rsidR="002D60F3">
        <w:rPr>
          <w:rFonts w:ascii="Times New Roman" w:hAnsi="Times New Roman" w:cs="Times New Roman"/>
          <w:lang w:val="en-US"/>
        </w:rPr>
        <w:t>used</w:t>
      </w:r>
      <w:r w:rsidR="002D60F3" w:rsidRPr="009C55F3">
        <w:rPr>
          <w:rFonts w:ascii="Times New Roman" w:hAnsi="Times New Roman" w:cs="Times New Roman"/>
          <w:lang w:val="en-US"/>
        </w:rPr>
        <w:t xml:space="preserve"> </w:t>
      </w:r>
      <w:r w:rsidR="002D60F3">
        <w:rPr>
          <w:rFonts w:ascii="Times New Roman" w:hAnsi="Times New Roman" w:cs="Times New Roman"/>
          <w:lang w:val="en-US"/>
        </w:rPr>
        <w:t>in</w:t>
      </w:r>
      <w:r w:rsidR="002D60F3" w:rsidRPr="009C55F3">
        <w:rPr>
          <w:rFonts w:ascii="Times New Roman" w:hAnsi="Times New Roman" w:cs="Times New Roman"/>
          <w:lang w:val="en-US"/>
        </w:rPr>
        <w:t xml:space="preserve"> </w:t>
      </w:r>
      <w:r w:rsidR="002D60F3">
        <w:rPr>
          <w:rFonts w:ascii="Times New Roman" w:hAnsi="Times New Roman" w:cs="Times New Roman"/>
          <w:lang w:val="en-US"/>
        </w:rPr>
        <w:t>the</w:t>
      </w:r>
      <w:r w:rsidR="002D60F3" w:rsidRPr="009C55F3">
        <w:rPr>
          <w:rFonts w:ascii="Times New Roman" w:hAnsi="Times New Roman" w:cs="Times New Roman"/>
          <w:lang w:val="en-US"/>
        </w:rPr>
        <w:t xml:space="preserve"> </w:t>
      </w:r>
      <w:r w:rsidR="002D60F3">
        <w:rPr>
          <w:rFonts w:ascii="Times New Roman" w:hAnsi="Times New Roman" w:cs="Times New Roman"/>
          <w:lang w:val="en-US"/>
        </w:rPr>
        <w:t>railway</w:t>
      </w:r>
      <w:r w:rsidR="002D60F3" w:rsidRPr="009C55F3">
        <w:rPr>
          <w:rFonts w:ascii="Times New Roman" w:hAnsi="Times New Roman" w:cs="Times New Roman"/>
          <w:lang w:val="en-US"/>
        </w:rPr>
        <w:t xml:space="preserve"> </w:t>
      </w:r>
      <w:r w:rsidR="002D60F3">
        <w:rPr>
          <w:rFonts w:ascii="Times New Roman" w:hAnsi="Times New Roman" w:cs="Times New Roman"/>
          <w:lang w:val="en-US"/>
        </w:rPr>
        <w:t>transportation</w:t>
      </w:r>
    </w:p>
    <w:p w:rsidR="001E3909" w:rsidRPr="009C55F3" w:rsidRDefault="001E3909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966EA8" w:rsidRPr="00F5594B" w:rsidRDefault="00270478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работе [6</w:t>
      </w:r>
      <w:r w:rsidR="000E07A8" w:rsidRPr="00F5594B">
        <w:rPr>
          <w:rFonts w:ascii="Times New Roman" w:hAnsi="Times New Roman" w:cs="Times New Roman"/>
        </w:rPr>
        <w:t>]</w:t>
      </w:r>
      <w:r w:rsidR="001B7110" w:rsidRPr="00F5594B">
        <w:rPr>
          <w:rFonts w:ascii="Times New Roman" w:hAnsi="Times New Roman" w:cs="Times New Roman"/>
        </w:rPr>
        <w:t xml:space="preserve"> обоснована возможность примен</w:t>
      </w:r>
      <w:r w:rsidR="00F62B39">
        <w:rPr>
          <w:rFonts w:ascii="Times New Roman" w:hAnsi="Times New Roman" w:cs="Times New Roman"/>
        </w:rPr>
        <w:t xml:space="preserve">ения эксергетического подхода при изучении </w:t>
      </w:r>
      <w:r w:rsidR="001B7110" w:rsidRPr="00F5594B">
        <w:rPr>
          <w:rFonts w:ascii="Times New Roman" w:hAnsi="Times New Roman" w:cs="Times New Roman"/>
        </w:rPr>
        <w:t xml:space="preserve">пожарной опасности </w:t>
      </w:r>
      <w:r w:rsidR="00975FB0" w:rsidRPr="00F5594B">
        <w:rPr>
          <w:rFonts w:ascii="Times New Roman" w:hAnsi="Times New Roman" w:cs="Times New Roman"/>
        </w:rPr>
        <w:t>ТКО</w:t>
      </w:r>
      <w:r w:rsidR="00F62B39">
        <w:rPr>
          <w:rFonts w:ascii="Times New Roman" w:hAnsi="Times New Roman" w:cs="Times New Roman"/>
        </w:rPr>
        <w:t xml:space="preserve"> при их перевозке</w:t>
      </w:r>
      <w:r w:rsidR="001B7110" w:rsidRPr="00F5594B">
        <w:rPr>
          <w:rFonts w:ascii="Times New Roman" w:hAnsi="Times New Roman" w:cs="Times New Roman"/>
        </w:rPr>
        <w:t xml:space="preserve">. </w:t>
      </w:r>
      <w:r w:rsidR="00360831" w:rsidRPr="00F5594B">
        <w:rPr>
          <w:rFonts w:ascii="Times New Roman" w:hAnsi="Times New Roman" w:cs="Times New Roman"/>
        </w:rPr>
        <w:t>Введение э</w:t>
      </w:r>
      <w:r w:rsidR="005402B7" w:rsidRPr="00F5594B">
        <w:rPr>
          <w:rFonts w:ascii="Times New Roman" w:hAnsi="Times New Roman" w:cs="Times New Roman"/>
        </w:rPr>
        <w:t xml:space="preserve">ксергии позволяет </w:t>
      </w:r>
      <w:r w:rsidR="00163850" w:rsidRPr="00F5594B">
        <w:rPr>
          <w:rFonts w:ascii="Times New Roman" w:hAnsi="Times New Roman" w:cs="Times New Roman"/>
        </w:rPr>
        <w:t xml:space="preserve">унифицировать </w:t>
      </w:r>
      <w:r w:rsidR="00E32C29" w:rsidRPr="00F5594B">
        <w:rPr>
          <w:rFonts w:ascii="Times New Roman" w:hAnsi="Times New Roman" w:cs="Times New Roman"/>
        </w:rPr>
        <w:t>оценку пожароопасных</w:t>
      </w:r>
      <w:r w:rsidR="005402B7" w:rsidRPr="00F5594B">
        <w:rPr>
          <w:rFonts w:ascii="Times New Roman" w:hAnsi="Times New Roman" w:cs="Times New Roman"/>
        </w:rPr>
        <w:t xml:space="preserve"> </w:t>
      </w:r>
      <w:r w:rsidR="00E32C29" w:rsidRPr="00F5594B">
        <w:rPr>
          <w:rFonts w:ascii="Times New Roman" w:hAnsi="Times New Roman" w:cs="Times New Roman"/>
        </w:rPr>
        <w:t>свойств</w:t>
      </w:r>
      <w:r w:rsidR="005402B7" w:rsidRPr="00F5594B">
        <w:rPr>
          <w:rFonts w:ascii="Times New Roman" w:hAnsi="Times New Roman" w:cs="Times New Roman"/>
        </w:rPr>
        <w:t xml:space="preserve"> </w:t>
      </w:r>
      <w:r w:rsidR="00F62B39">
        <w:rPr>
          <w:rFonts w:ascii="Times New Roman" w:hAnsi="Times New Roman" w:cs="Times New Roman"/>
        </w:rPr>
        <w:t>ТКО в процессе всего жизненного цикла отходов</w:t>
      </w:r>
      <w:r w:rsidR="00975FB0" w:rsidRPr="00F5594B">
        <w:rPr>
          <w:rFonts w:ascii="Times New Roman" w:hAnsi="Times New Roman" w:cs="Times New Roman"/>
        </w:rPr>
        <w:t>, учитывая при этом параметры</w:t>
      </w:r>
      <w:r w:rsidR="00FE7451" w:rsidRPr="00F5594B">
        <w:rPr>
          <w:rFonts w:ascii="Times New Roman" w:hAnsi="Times New Roman" w:cs="Times New Roman"/>
        </w:rPr>
        <w:t xml:space="preserve"> окружающей среды - ее темп</w:t>
      </w:r>
      <w:r w:rsidR="00381AD5">
        <w:rPr>
          <w:rFonts w:ascii="Times New Roman" w:hAnsi="Times New Roman" w:cs="Times New Roman"/>
        </w:rPr>
        <w:t xml:space="preserve">ературу, давление и состав, что </w:t>
      </w:r>
      <w:r w:rsidR="00FE7451" w:rsidRPr="00F5594B">
        <w:rPr>
          <w:rFonts w:ascii="Times New Roman" w:hAnsi="Times New Roman" w:cs="Times New Roman"/>
        </w:rPr>
        <w:t>обеспечивает учет реальных условий</w:t>
      </w:r>
      <w:r w:rsidR="00F62B39">
        <w:rPr>
          <w:rFonts w:ascii="Times New Roman" w:hAnsi="Times New Roman" w:cs="Times New Roman"/>
        </w:rPr>
        <w:t xml:space="preserve"> протекания процессов горения, </w:t>
      </w:r>
      <w:r w:rsidR="00FE7451" w:rsidRPr="00F5594B">
        <w:rPr>
          <w:rFonts w:ascii="Times New Roman" w:hAnsi="Times New Roman" w:cs="Times New Roman"/>
        </w:rPr>
        <w:t>повышает объективност</w:t>
      </w:r>
      <w:r w:rsidR="00F62B39">
        <w:rPr>
          <w:rFonts w:ascii="Times New Roman" w:hAnsi="Times New Roman" w:cs="Times New Roman"/>
        </w:rPr>
        <w:t>ь оценки пожарной опасности ТКО, расширяет возможности прогнозирования возникновения и развития пожаров.</w:t>
      </w:r>
    </w:p>
    <w:p w:rsidR="001304B6" w:rsidRPr="00F5594B" w:rsidRDefault="00437C2B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На основании анализа химических, физических и пожароопасных свойств </w:t>
      </w:r>
      <w:r w:rsidR="00511155">
        <w:rPr>
          <w:rFonts w:ascii="Times New Roman" w:hAnsi="Times New Roman" w:cs="Times New Roman"/>
        </w:rPr>
        <w:t>отходов нами предложена</w:t>
      </w:r>
      <w:r w:rsidR="00511155" w:rsidRPr="00F5594B">
        <w:rPr>
          <w:rFonts w:ascii="Times New Roman" w:hAnsi="Times New Roman" w:cs="Times New Roman"/>
        </w:rPr>
        <w:t xml:space="preserve"> классификация </w:t>
      </w:r>
      <w:r w:rsidR="00511155">
        <w:rPr>
          <w:rFonts w:ascii="Times New Roman" w:hAnsi="Times New Roman" w:cs="Times New Roman"/>
        </w:rPr>
        <w:t xml:space="preserve">ТКО </w:t>
      </w:r>
      <w:r w:rsidR="00DF7CAD">
        <w:rPr>
          <w:rFonts w:ascii="Times New Roman" w:hAnsi="Times New Roman" w:cs="Times New Roman"/>
        </w:rPr>
        <w:t>по эксергетическому показателю</w:t>
      </w:r>
      <w:r w:rsidR="00A57813">
        <w:rPr>
          <w:rFonts w:ascii="Times New Roman" w:hAnsi="Times New Roman" w:cs="Times New Roman"/>
        </w:rPr>
        <w:t xml:space="preserve"> </w:t>
      </w:r>
      <w:r w:rsidR="00360FA8" w:rsidRPr="00F5594B">
        <w:rPr>
          <w:rFonts w:ascii="Times New Roman" w:hAnsi="Times New Roman" w:cs="Times New Roman"/>
        </w:rPr>
        <w:t>(Таблица 1)</w:t>
      </w:r>
      <w:r w:rsidR="00360FA8">
        <w:rPr>
          <w:rFonts w:ascii="Times New Roman" w:hAnsi="Times New Roman" w:cs="Times New Roman"/>
        </w:rPr>
        <w:t xml:space="preserve"> </w:t>
      </w:r>
      <w:r w:rsidR="00A57813">
        <w:rPr>
          <w:rFonts w:ascii="Times New Roman" w:hAnsi="Times New Roman" w:cs="Times New Roman"/>
        </w:rPr>
        <w:t xml:space="preserve">и обоснованы преимущества ее применения при </w:t>
      </w:r>
      <w:r w:rsidR="00381AD5">
        <w:rPr>
          <w:rFonts w:ascii="Times New Roman" w:hAnsi="Times New Roman" w:cs="Times New Roman"/>
        </w:rPr>
        <w:t xml:space="preserve">осуществлении транспортировки </w:t>
      </w:r>
      <w:r w:rsidR="00A57813">
        <w:rPr>
          <w:rFonts w:ascii="Times New Roman" w:hAnsi="Times New Roman" w:cs="Times New Roman"/>
        </w:rPr>
        <w:t>отходов на железнодорожном транспорте</w:t>
      </w:r>
      <w:r w:rsidR="00C519E5" w:rsidRPr="00F5594B">
        <w:rPr>
          <w:rFonts w:ascii="Times New Roman" w:hAnsi="Times New Roman" w:cs="Times New Roman"/>
        </w:rPr>
        <w:t>.</w:t>
      </w:r>
    </w:p>
    <w:p w:rsidR="0054797E" w:rsidRPr="009344AC" w:rsidRDefault="002D60F3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Table</w:t>
      </w:r>
      <w:r w:rsidR="00C519E5" w:rsidRPr="009344AC">
        <w:rPr>
          <w:rFonts w:ascii="Times New Roman" w:hAnsi="Times New Roman" w:cs="Times New Roman"/>
          <w:lang w:val="en-US"/>
        </w:rPr>
        <w:t xml:space="preserve"> 1</w:t>
      </w:r>
      <w:r w:rsidR="0054797E" w:rsidRPr="009344AC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 xml:space="preserve">MSW systemized by </w:t>
      </w:r>
      <w:r w:rsidR="009344AC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9344AC">
        <w:rPr>
          <w:rFonts w:ascii="Times New Roman" w:hAnsi="Times New Roman" w:cs="Times New Roman"/>
          <w:lang w:val="en-US"/>
        </w:rPr>
        <w:t>e</w:t>
      </w:r>
      <w:r w:rsidR="009344AC" w:rsidRPr="009344AC">
        <w:rPr>
          <w:rFonts w:ascii="Times New Roman" w:hAnsi="Times New Roman" w:cs="Times New Roman"/>
          <w:lang w:val="en-US"/>
        </w:rPr>
        <w:t>xergetic</w:t>
      </w:r>
      <w:proofErr w:type="spellEnd"/>
      <w:r w:rsidR="009344AC" w:rsidRPr="009344AC">
        <w:rPr>
          <w:rFonts w:ascii="Times New Roman" w:hAnsi="Times New Roman" w:cs="Times New Roman"/>
          <w:lang w:val="en-US"/>
        </w:rPr>
        <w:t xml:space="preserve"> coefficient</w:t>
      </w:r>
    </w:p>
    <w:tbl>
      <w:tblPr>
        <w:tblW w:w="9356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2835"/>
        <w:gridCol w:w="4394"/>
      </w:tblGrid>
      <w:tr w:rsidR="0054797E" w:rsidRPr="00F5594B" w:rsidTr="003D6C74">
        <w:trPr>
          <w:trHeight w:val="438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EE4344" w:rsidRDefault="00EE4344" w:rsidP="00EE43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EE4344">
              <w:rPr>
                <w:rFonts w:ascii="Times New Roman" w:hAnsi="Times New Roman" w:cs="Times New Roman"/>
                <w:b/>
                <w:lang w:val="en-US"/>
              </w:rPr>
              <w:t>Flammability group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797E" w:rsidRPr="00EE4344" w:rsidRDefault="00EE4344" w:rsidP="00EE43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EE4344">
              <w:rPr>
                <w:rFonts w:ascii="Times New Roman" w:hAnsi="Times New Roman" w:cs="Times New Roman"/>
                <w:b/>
                <w:lang w:val="en-US"/>
              </w:rPr>
              <w:t>Exergetic</w:t>
            </w:r>
            <w:proofErr w:type="spellEnd"/>
            <w:r w:rsidRPr="00EE4344">
              <w:rPr>
                <w:rFonts w:ascii="Times New Roman" w:hAnsi="Times New Roman" w:cs="Times New Roman"/>
                <w:b/>
                <w:lang w:val="en-US"/>
              </w:rPr>
              <w:t xml:space="preserve"> coefficient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EE4344" w:rsidRDefault="00EE4344" w:rsidP="00EE43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EE4344">
              <w:rPr>
                <w:rFonts w:ascii="Times New Roman" w:hAnsi="Times New Roman" w:cs="Times New Roman"/>
                <w:b/>
                <w:lang w:val="en-US"/>
              </w:rPr>
              <w:t>Flammability rating</w:t>
            </w:r>
          </w:p>
        </w:tc>
      </w:tr>
      <w:tr w:rsidR="0054797E" w:rsidRPr="00F5594B" w:rsidTr="003D6C74">
        <w:trPr>
          <w:trHeight w:val="433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EE4344" w:rsidRDefault="00EE4344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EE4344">
              <w:rPr>
                <w:rFonts w:ascii="Times New Roman" w:hAnsi="Times New Roman" w:cs="Times New Roman"/>
                <w:lang w:val="en-US"/>
              </w:rPr>
              <w:t>onflammable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797E" w:rsidRPr="00F5594B" w:rsidRDefault="00536800" w:rsidP="00EE43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oMath>
            <w:r w:rsidR="0054797E" w:rsidRPr="00F5594B">
              <w:rPr>
                <w:rFonts w:ascii="Times New Roman" w:hAnsi="Times New Roman" w:cs="Times New Roman"/>
              </w:rPr>
              <w:t>&lt;0,1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F5594B" w:rsidRDefault="0054797E" w:rsidP="0053680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 xml:space="preserve">0 - </w:t>
            </w:r>
            <w:r w:rsidR="00536800">
              <w:rPr>
                <w:rFonts w:ascii="Times New Roman" w:hAnsi="Times New Roman" w:cs="Times New Roman"/>
                <w:lang w:val="en-US"/>
              </w:rPr>
              <w:t>nonflammable</w:t>
            </w:r>
          </w:p>
        </w:tc>
      </w:tr>
      <w:tr w:rsidR="0054797E" w:rsidRPr="00536800" w:rsidTr="003D6C74">
        <w:trPr>
          <w:trHeight w:val="385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F5594B" w:rsidRDefault="00EE4344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EE4344">
              <w:rPr>
                <w:rFonts w:ascii="Times New Roman" w:hAnsi="Times New Roman" w:cs="Times New Roman"/>
              </w:rPr>
              <w:t>ow-flammable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797E" w:rsidRPr="00F5594B" w:rsidRDefault="00536800" w:rsidP="00EE43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0,1≤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&lt;0,5</m:t>
                </m:r>
              </m:oMath>
            </m:oMathPara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536800" w:rsidRDefault="0054797E" w:rsidP="0053680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36800"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="00536800" w:rsidRPr="00536800">
              <w:rPr>
                <w:rFonts w:ascii="Times New Roman" w:hAnsi="Times New Roman" w:cs="Times New Roman"/>
                <w:lang w:val="en-US"/>
              </w:rPr>
              <w:t>–</w:t>
            </w:r>
            <w:r w:rsidRPr="0053680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36800">
              <w:rPr>
                <w:rFonts w:ascii="Times New Roman" w:hAnsi="Times New Roman" w:cs="Times New Roman"/>
                <w:lang w:val="en-US"/>
              </w:rPr>
              <w:t>low</w:t>
            </w:r>
            <w:r w:rsidR="00536800" w:rsidRPr="0053680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36800">
              <w:rPr>
                <w:rFonts w:ascii="Times New Roman" w:hAnsi="Times New Roman" w:cs="Times New Roman"/>
                <w:lang w:val="en-US"/>
              </w:rPr>
              <w:t>value</w:t>
            </w:r>
            <w:r w:rsidR="00536800" w:rsidRPr="0053680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36800">
              <w:rPr>
                <w:rFonts w:ascii="Times New Roman" w:hAnsi="Times New Roman" w:cs="Times New Roman"/>
                <w:lang w:val="en-US"/>
              </w:rPr>
              <w:t>of</w:t>
            </w:r>
            <w:r w:rsidR="00536800" w:rsidRPr="0053680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36800">
              <w:rPr>
                <w:rFonts w:ascii="Times New Roman" w:hAnsi="Times New Roman" w:cs="Times New Roman"/>
                <w:lang w:val="en-US"/>
              </w:rPr>
              <w:t>the</w:t>
            </w:r>
            <w:r w:rsidR="00536800" w:rsidRPr="0053680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6800">
              <w:rPr>
                <w:rFonts w:ascii="Times New Roman" w:hAnsi="Times New Roman" w:cs="Times New Roman"/>
                <w:lang w:val="en-US"/>
              </w:rPr>
              <w:t>exergetic</w:t>
            </w:r>
            <w:proofErr w:type="spellEnd"/>
            <w:r w:rsidR="00536800" w:rsidRPr="0053680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36800">
              <w:rPr>
                <w:rFonts w:ascii="Times New Roman" w:hAnsi="Times New Roman" w:cs="Times New Roman"/>
                <w:lang w:val="en-US"/>
              </w:rPr>
              <w:t>coefficient</w:t>
            </w:r>
          </w:p>
        </w:tc>
      </w:tr>
      <w:tr w:rsidR="0054797E" w:rsidRPr="00536800" w:rsidTr="003D6C74">
        <w:trPr>
          <w:trHeight w:val="261"/>
        </w:trPr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F5594B" w:rsidRDefault="00EE4344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EE4344">
              <w:rPr>
                <w:rFonts w:ascii="Times New Roman" w:hAnsi="Times New Roman" w:cs="Times New Roman"/>
              </w:rPr>
              <w:t>lammable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797E" w:rsidRPr="00F5594B" w:rsidRDefault="00536800" w:rsidP="00EE43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0,5≤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&lt;1,0</m:t>
                </m:r>
              </m:oMath>
            </m:oMathPara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536800" w:rsidRDefault="0054797E" w:rsidP="0053680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36800">
              <w:rPr>
                <w:rFonts w:ascii="Times New Roman" w:hAnsi="Times New Roman" w:cs="Times New Roman"/>
                <w:lang w:val="en-US"/>
              </w:rPr>
              <w:t xml:space="preserve">2 - </w:t>
            </w:r>
            <w:r w:rsidR="00536800">
              <w:rPr>
                <w:rFonts w:ascii="Times New Roman" w:hAnsi="Times New Roman" w:cs="Times New Roman"/>
                <w:lang w:val="en-US"/>
              </w:rPr>
              <w:t>middle</w:t>
            </w:r>
            <w:r w:rsidR="00536800" w:rsidRPr="0053680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36800">
              <w:rPr>
                <w:rFonts w:ascii="Times New Roman" w:hAnsi="Times New Roman" w:cs="Times New Roman"/>
                <w:lang w:val="en-US"/>
              </w:rPr>
              <w:t>value</w:t>
            </w:r>
            <w:r w:rsidR="00536800" w:rsidRPr="0053680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36800">
              <w:rPr>
                <w:rFonts w:ascii="Times New Roman" w:hAnsi="Times New Roman" w:cs="Times New Roman"/>
                <w:lang w:val="en-US"/>
              </w:rPr>
              <w:t>of</w:t>
            </w:r>
            <w:r w:rsidR="00536800" w:rsidRPr="0053680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36800">
              <w:rPr>
                <w:rFonts w:ascii="Times New Roman" w:hAnsi="Times New Roman" w:cs="Times New Roman"/>
                <w:lang w:val="en-US"/>
              </w:rPr>
              <w:t>the</w:t>
            </w:r>
            <w:r w:rsidR="00536800" w:rsidRPr="0053680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6800">
              <w:rPr>
                <w:rFonts w:ascii="Times New Roman" w:hAnsi="Times New Roman" w:cs="Times New Roman"/>
                <w:lang w:val="en-US"/>
              </w:rPr>
              <w:t>exergetic</w:t>
            </w:r>
            <w:proofErr w:type="spellEnd"/>
            <w:r w:rsidR="00536800" w:rsidRPr="0053680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36800">
              <w:rPr>
                <w:rFonts w:ascii="Times New Roman" w:hAnsi="Times New Roman" w:cs="Times New Roman"/>
                <w:lang w:val="en-US"/>
              </w:rPr>
              <w:t>coefficient</w:t>
            </w:r>
          </w:p>
        </w:tc>
      </w:tr>
      <w:tr w:rsidR="0054797E" w:rsidRPr="00536800" w:rsidTr="003D6C74">
        <w:trPr>
          <w:trHeight w:val="255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97E" w:rsidRPr="00536800" w:rsidRDefault="0054797E" w:rsidP="00F5594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797E" w:rsidRPr="00F5594B" w:rsidRDefault="00536800" w:rsidP="00EE434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≥1,0</m:t>
                </m:r>
              </m:oMath>
            </m:oMathPara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797E" w:rsidRPr="00536800" w:rsidRDefault="0054797E" w:rsidP="0053680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36800">
              <w:rPr>
                <w:rFonts w:ascii="Times New Roman" w:hAnsi="Times New Roman" w:cs="Times New Roman"/>
                <w:lang w:val="en-US"/>
              </w:rPr>
              <w:t xml:space="preserve">3 - </w:t>
            </w:r>
            <w:r w:rsidR="00536800">
              <w:rPr>
                <w:rFonts w:ascii="Times New Roman" w:hAnsi="Times New Roman" w:cs="Times New Roman"/>
                <w:lang w:val="en-US"/>
              </w:rPr>
              <w:t>high</w:t>
            </w:r>
            <w:r w:rsidR="00536800" w:rsidRPr="0053680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36800">
              <w:rPr>
                <w:rFonts w:ascii="Times New Roman" w:hAnsi="Times New Roman" w:cs="Times New Roman"/>
                <w:lang w:val="en-US"/>
              </w:rPr>
              <w:t>value</w:t>
            </w:r>
            <w:r w:rsidR="00536800" w:rsidRPr="0053680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36800">
              <w:rPr>
                <w:rFonts w:ascii="Times New Roman" w:hAnsi="Times New Roman" w:cs="Times New Roman"/>
                <w:lang w:val="en-US"/>
              </w:rPr>
              <w:t>of</w:t>
            </w:r>
            <w:r w:rsidR="00536800" w:rsidRPr="0053680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36800">
              <w:rPr>
                <w:rFonts w:ascii="Times New Roman" w:hAnsi="Times New Roman" w:cs="Times New Roman"/>
                <w:lang w:val="en-US"/>
              </w:rPr>
              <w:t>the</w:t>
            </w:r>
            <w:r w:rsidR="00536800" w:rsidRPr="0053680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6800">
              <w:rPr>
                <w:rFonts w:ascii="Times New Roman" w:hAnsi="Times New Roman" w:cs="Times New Roman"/>
                <w:lang w:val="en-US"/>
              </w:rPr>
              <w:t>exergetic</w:t>
            </w:r>
            <w:proofErr w:type="spellEnd"/>
            <w:r w:rsidR="00536800" w:rsidRPr="0053680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36800">
              <w:rPr>
                <w:rFonts w:ascii="Times New Roman" w:hAnsi="Times New Roman" w:cs="Times New Roman"/>
                <w:lang w:val="en-US"/>
              </w:rPr>
              <w:t>coefficient</w:t>
            </w:r>
          </w:p>
        </w:tc>
      </w:tr>
    </w:tbl>
    <w:p w:rsidR="00836C93" w:rsidRPr="00536800" w:rsidRDefault="00836C93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C519E5" w:rsidRPr="009C55F3" w:rsidRDefault="00F92925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36800">
        <w:rPr>
          <w:rFonts w:ascii="Times New Roman" w:hAnsi="Times New Roman" w:cs="Times New Roman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П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е</m:t>
            </m:r>
          </m:num>
          <m:den>
            <m:r>
              <w:rPr>
                <w:rFonts w:ascii="Cambria Math" w:hAnsi="Cambria Math" w:cs="Times New Roman"/>
              </w:rPr>
              <m:t>30</m:t>
            </m:r>
          </m:den>
        </m:f>
      </m:oMath>
      <w:r w:rsidR="00C519E5" w:rsidRPr="00F5594B">
        <w:rPr>
          <w:rFonts w:ascii="Times New Roman" w:eastAsiaTheme="minorEastAsia" w:hAnsi="Times New Roman" w:cs="Times New Roman"/>
        </w:rPr>
        <w:t xml:space="preserve">, </w:t>
      </w:r>
      <w:r w:rsidR="00EE4344">
        <w:rPr>
          <w:rFonts w:ascii="Times New Roman" w:eastAsiaTheme="minorEastAsia" w:hAnsi="Times New Roman" w:cs="Times New Roman"/>
          <w:lang w:val="en-US"/>
        </w:rPr>
        <w:t>where</w:t>
      </w:r>
    </w:p>
    <w:p w:rsidR="00C519E5" w:rsidRPr="00F5594B" w:rsidRDefault="00954F4A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Cambria Math" w:hAnsi="Cambria Math" w:cs="Cambria Math"/>
        </w:rPr>
        <w:t>𝑒</w:t>
      </w:r>
      <w:r w:rsidR="00C519E5" w:rsidRPr="00F5594B">
        <w:rPr>
          <w:rFonts w:ascii="Times New Roman" w:hAnsi="Times New Roman" w:cs="Times New Roman"/>
          <w:vertAlign w:val="subscript"/>
        </w:rPr>
        <w:t xml:space="preserve"> </w:t>
      </w:r>
      <w:r w:rsidR="00C519E5" w:rsidRPr="00F5594B">
        <w:rPr>
          <w:rFonts w:ascii="Times New Roman" w:hAnsi="Times New Roman" w:cs="Times New Roman"/>
        </w:rPr>
        <w:t>–</w:t>
      </w:r>
      <w:r w:rsidRPr="00F5594B">
        <w:rPr>
          <w:rFonts w:ascii="Times New Roman" w:hAnsi="Times New Roman" w:cs="Times New Roman"/>
        </w:rPr>
        <w:t xml:space="preserve">удельная </w:t>
      </w:r>
      <w:r w:rsidR="00C519E5" w:rsidRPr="00F5594B">
        <w:rPr>
          <w:rFonts w:ascii="Times New Roman" w:hAnsi="Times New Roman" w:cs="Times New Roman"/>
        </w:rPr>
        <w:t xml:space="preserve">эксергия груза, </w:t>
      </w:r>
      <w:r w:rsidRPr="00F5594B">
        <w:rPr>
          <w:rFonts w:ascii="Times New Roman" w:hAnsi="Times New Roman" w:cs="Times New Roman"/>
        </w:rPr>
        <w:t xml:space="preserve">рассчитываемая как сумма химической и физической составляющих эксергии, </w:t>
      </w:r>
      <w:r w:rsidR="00C519E5" w:rsidRPr="00F5594B">
        <w:rPr>
          <w:rFonts w:ascii="Times New Roman" w:hAnsi="Times New Roman" w:cs="Times New Roman"/>
        </w:rPr>
        <w:t xml:space="preserve">МДж/кг; </w:t>
      </w:r>
    </w:p>
    <w:p w:rsidR="00C519E5" w:rsidRPr="00F5594B" w:rsidRDefault="00C519E5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lastRenderedPageBreak/>
        <w:t>30 – минимальная эксергия груза, относящегося к классу Э3 (грузы с высоким значением эксергетического показателя), МДж/кг.</w:t>
      </w:r>
    </w:p>
    <w:p w:rsidR="00F92925" w:rsidRPr="00F5594B" w:rsidRDefault="00C519E5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Использование эксергетического </w:t>
      </w:r>
      <w:r w:rsidR="00016632" w:rsidRPr="00F5594B">
        <w:rPr>
          <w:rFonts w:ascii="Times New Roman" w:hAnsi="Times New Roman" w:cs="Times New Roman"/>
        </w:rPr>
        <w:t xml:space="preserve">подхода </w:t>
      </w:r>
      <w:r w:rsidR="003224E0" w:rsidRPr="00F5594B">
        <w:rPr>
          <w:rFonts w:ascii="Times New Roman" w:hAnsi="Times New Roman" w:cs="Times New Roman"/>
        </w:rPr>
        <w:t xml:space="preserve">позволяет провести не только оценку пожарной опасности </w:t>
      </w:r>
      <w:r w:rsidR="00016632" w:rsidRPr="00F5594B">
        <w:rPr>
          <w:rFonts w:ascii="Times New Roman" w:hAnsi="Times New Roman" w:cs="Times New Roman"/>
        </w:rPr>
        <w:t>ТКО</w:t>
      </w:r>
      <w:r w:rsidR="003224E0" w:rsidRPr="00F5594B">
        <w:rPr>
          <w:rFonts w:ascii="Times New Roman" w:hAnsi="Times New Roman" w:cs="Times New Roman"/>
        </w:rPr>
        <w:t xml:space="preserve">, но </w:t>
      </w:r>
      <w:r w:rsidR="008E28AA" w:rsidRPr="00F5594B">
        <w:rPr>
          <w:rFonts w:ascii="Times New Roman" w:hAnsi="Times New Roman" w:cs="Times New Roman"/>
        </w:rPr>
        <w:t xml:space="preserve">и </w:t>
      </w:r>
      <w:r w:rsidR="00016632" w:rsidRPr="00F5594B">
        <w:rPr>
          <w:rFonts w:ascii="Times New Roman" w:hAnsi="Times New Roman" w:cs="Times New Roman"/>
        </w:rPr>
        <w:t xml:space="preserve">исследовать негативное влияние отходов на окружающую среду </w:t>
      </w:r>
      <w:r w:rsidR="00954F4A" w:rsidRPr="00F5594B">
        <w:rPr>
          <w:rFonts w:ascii="Times New Roman" w:hAnsi="Times New Roman" w:cs="Times New Roman"/>
        </w:rPr>
        <w:t xml:space="preserve">и </w:t>
      </w:r>
      <w:r w:rsidR="008E28AA" w:rsidRPr="00F5594B">
        <w:rPr>
          <w:rFonts w:ascii="Times New Roman" w:hAnsi="Times New Roman" w:cs="Times New Roman"/>
        </w:rPr>
        <w:t xml:space="preserve">провести </w:t>
      </w:r>
      <w:r w:rsidR="00A57813">
        <w:rPr>
          <w:rFonts w:ascii="Times New Roman" w:hAnsi="Times New Roman" w:cs="Times New Roman"/>
        </w:rPr>
        <w:t>эксергетичекую оценку эффективности</w:t>
      </w:r>
      <w:r w:rsidR="00016632" w:rsidRPr="00F5594B">
        <w:rPr>
          <w:rFonts w:ascii="Times New Roman" w:hAnsi="Times New Roman" w:cs="Times New Roman"/>
        </w:rPr>
        <w:t xml:space="preserve"> </w:t>
      </w:r>
      <w:r w:rsidR="00A57813">
        <w:rPr>
          <w:rFonts w:ascii="Times New Roman" w:hAnsi="Times New Roman" w:cs="Times New Roman"/>
        </w:rPr>
        <w:t xml:space="preserve">возможных </w:t>
      </w:r>
      <w:r w:rsidR="008E28AA" w:rsidRPr="00F5594B">
        <w:rPr>
          <w:rFonts w:ascii="Times New Roman" w:hAnsi="Times New Roman" w:cs="Times New Roman"/>
        </w:rPr>
        <w:t xml:space="preserve">методов </w:t>
      </w:r>
      <w:r w:rsidR="00016632" w:rsidRPr="00F5594B">
        <w:rPr>
          <w:rFonts w:ascii="Times New Roman" w:hAnsi="Times New Roman" w:cs="Times New Roman"/>
        </w:rPr>
        <w:t xml:space="preserve">их </w:t>
      </w:r>
      <w:r w:rsidR="00954F4A" w:rsidRPr="00F5594B">
        <w:rPr>
          <w:rFonts w:ascii="Times New Roman" w:hAnsi="Times New Roman" w:cs="Times New Roman"/>
        </w:rPr>
        <w:t>утилизации</w:t>
      </w:r>
      <w:r w:rsidR="008E28AA" w:rsidRPr="00F5594B">
        <w:rPr>
          <w:rFonts w:ascii="Times New Roman" w:hAnsi="Times New Roman" w:cs="Times New Roman"/>
        </w:rPr>
        <w:t>.</w:t>
      </w:r>
    </w:p>
    <w:p w:rsidR="00F92925" w:rsidRPr="00F5594B" w:rsidRDefault="0088746D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Расчет</w:t>
      </w:r>
      <w:r w:rsidR="00F92925" w:rsidRPr="00F5594B">
        <w:rPr>
          <w:rFonts w:ascii="Times New Roman" w:hAnsi="Times New Roman" w:cs="Times New Roman"/>
        </w:rPr>
        <w:t xml:space="preserve"> эксергии для оценки пожарной опасности грузов осуществляется в два этапа: </w:t>
      </w:r>
      <w:r w:rsidRPr="00F5594B">
        <w:rPr>
          <w:rFonts w:ascii="Times New Roman" w:hAnsi="Times New Roman" w:cs="Times New Roman"/>
        </w:rPr>
        <w:t xml:space="preserve">1) </w:t>
      </w:r>
      <w:r w:rsidR="006E1060" w:rsidRPr="00F5594B">
        <w:rPr>
          <w:rFonts w:ascii="Times New Roman" w:hAnsi="Times New Roman" w:cs="Times New Roman"/>
        </w:rPr>
        <w:t>определение уровней отсчета</w:t>
      </w:r>
      <w:r w:rsidR="0077782C" w:rsidRPr="00F5594B">
        <w:rPr>
          <w:rFonts w:ascii="Times New Roman" w:hAnsi="Times New Roman" w:cs="Times New Roman"/>
        </w:rPr>
        <w:t xml:space="preserve"> эксергии </w:t>
      </w:r>
      <w:r w:rsidRPr="00F5594B">
        <w:rPr>
          <w:rFonts w:ascii="Times New Roman" w:hAnsi="Times New Roman" w:cs="Times New Roman"/>
        </w:rPr>
        <w:t>(параметров окружающей среды); 2) определение</w:t>
      </w:r>
      <w:r w:rsidR="0077782C" w:rsidRPr="00F5594B">
        <w:rPr>
          <w:rFonts w:ascii="Times New Roman" w:hAnsi="Times New Roman" w:cs="Times New Roman"/>
        </w:rPr>
        <w:t xml:space="preserve"> изменения эксергии при физических и химических процессах.</w:t>
      </w:r>
    </w:p>
    <w:p w:rsidR="0007258B" w:rsidRPr="00F5594B" w:rsidRDefault="00C166D8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Реализация предлагаемого подхода определяет необходимость </w:t>
      </w:r>
      <w:r w:rsidR="00420D05" w:rsidRPr="00F5594B">
        <w:rPr>
          <w:rFonts w:ascii="Times New Roman" w:hAnsi="Times New Roman" w:cs="Times New Roman"/>
        </w:rPr>
        <w:t xml:space="preserve">проведения мониторинга состояния </w:t>
      </w:r>
      <w:r w:rsidR="00381AD5">
        <w:rPr>
          <w:rFonts w:ascii="Times New Roman" w:hAnsi="Times New Roman" w:cs="Times New Roman"/>
        </w:rPr>
        <w:t>ТКО</w:t>
      </w:r>
      <w:r w:rsidR="00420D05" w:rsidRPr="00F5594B">
        <w:rPr>
          <w:rFonts w:ascii="Times New Roman" w:hAnsi="Times New Roman" w:cs="Times New Roman"/>
        </w:rPr>
        <w:t xml:space="preserve"> </w:t>
      </w:r>
      <w:r w:rsidR="00381AD5">
        <w:rPr>
          <w:rFonts w:ascii="Times New Roman" w:hAnsi="Times New Roman" w:cs="Times New Roman"/>
        </w:rPr>
        <w:t xml:space="preserve">в местах их скопления </w:t>
      </w:r>
      <w:r w:rsidR="00420D05" w:rsidRPr="00F5594B">
        <w:rPr>
          <w:rFonts w:ascii="Times New Roman" w:hAnsi="Times New Roman" w:cs="Times New Roman"/>
        </w:rPr>
        <w:t>с по</w:t>
      </w:r>
      <w:r w:rsidRPr="00F5594B">
        <w:rPr>
          <w:rFonts w:ascii="Times New Roman" w:hAnsi="Times New Roman" w:cs="Times New Roman"/>
        </w:rPr>
        <w:t>следующей визуализацией данных и создания единой информационной системы</w:t>
      </w:r>
      <w:r w:rsidR="00420D05" w:rsidRPr="00F5594B">
        <w:rPr>
          <w:rFonts w:ascii="Times New Roman" w:hAnsi="Times New Roman" w:cs="Times New Roman"/>
        </w:rPr>
        <w:t xml:space="preserve"> сбора и обработки данных об отходах</w:t>
      </w:r>
      <w:r w:rsidR="009E3625" w:rsidRPr="00F5594B">
        <w:rPr>
          <w:rFonts w:ascii="Times New Roman" w:hAnsi="Times New Roman" w:cs="Times New Roman"/>
        </w:rPr>
        <w:t xml:space="preserve"> в процессе их жизненного цикла.</w:t>
      </w:r>
      <w:r w:rsidR="00420D05" w:rsidRPr="00F5594B">
        <w:rPr>
          <w:rFonts w:ascii="Times New Roman" w:hAnsi="Times New Roman" w:cs="Times New Roman"/>
        </w:rPr>
        <w:t xml:space="preserve"> Предлагается использовать комплексную систему </w:t>
      </w:r>
      <w:r w:rsidR="002906C1" w:rsidRPr="00F5594B">
        <w:rPr>
          <w:rFonts w:ascii="Times New Roman" w:hAnsi="Times New Roman" w:cs="Times New Roman"/>
        </w:rPr>
        <w:t xml:space="preserve">мониторинга и управления отходами </w:t>
      </w:r>
      <w:r w:rsidR="00420D05" w:rsidRPr="00F5594B">
        <w:rPr>
          <w:rFonts w:ascii="Times New Roman" w:hAnsi="Times New Roman" w:cs="Times New Roman"/>
        </w:rPr>
        <w:t xml:space="preserve">в </w:t>
      </w:r>
      <w:r w:rsidR="00CD4676" w:rsidRPr="00F5594B">
        <w:rPr>
          <w:rFonts w:ascii="Times New Roman" w:hAnsi="Times New Roman" w:cs="Times New Roman"/>
        </w:rPr>
        <w:t xml:space="preserve">процессе их сбора, сортировки, </w:t>
      </w:r>
      <w:r w:rsidR="00420D05" w:rsidRPr="00F5594B">
        <w:rPr>
          <w:rFonts w:ascii="Times New Roman" w:hAnsi="Times New Roman" w:cs="Times New Roman"/>
        </w:rPr>
        <w:t xml:space="preserve">перевозки и захоронении на полигонах с целью </w:t>
      </w:r>
      <w:r w:rsidR="0007258B" w:rsidRPr="00F5594B">
        <w:rPr>
          <w:rFonts w:ascii="Times New Roman" w:hAnsi="Times New Roman" w:cs="Times New Roman"/>
        </w:rPr>
        <w:t xml:space="preserve">оптимизации сбора и перемещения мусора,  </w:t>
      </w:r>
      <w:r w:rsidR="00420D05" w:rsidRPr="00F5594B">
        <w:rPr>
          <w:rFonts w:ascii="Times New Roman" w:hAnsi="Times New Roman" w:cs="Times New Roman"/>
        </w:rPr>
        <w:t xml:space="preserve">обеспечения пожарной </w:t>
      </w:r>
      <w:r w:rsidR="0007258B" w:rsidRPr="00F5594B">
        <w:rPr>
          <w:rFonts w:ascii="Times New Roman" w:hAnsi="Times New Roman" w:cs="Times New Roman"/>
        </w:rPr>
        <w:t xml:space="preserve">и экологической </w:t>
      </w:r>
      <w:r w:rsidR="00420D05" w:rsidRPr="00F5594B">
        <w:rPr>
          <w:rFonts w:ascii="Times New Roman" w:hAnsi="Times New Roman" w:cs="Times New Roman"/>
        </w:rPr>
        <w:t xml:space="preserve">безопасности. </w:t>
      </w:r>
    </w:p>
    <w:p w:rsidR="00420D05" w:rsidRPr="00F5594B" w:rsidRDefault="00381AD5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Основными задачами</w:t>
      </w:r>
      <w:r w:rsidR="003C6715" w:rsidRPr="00F5594B">
        <w:rPr>
          <w:rFonts w:ascii="Times New Roman" w:hAnsi="Times New Roman" w:cs="Times New Roman"/>
        </w:rPr>
        <w:t xml:space="preserve"> </w:t>
      </w:r>
      <w:r w:rsidR="00122141">
        <w:rPr>
          <w:rFonts w:ascii="Times New Roman" w:hAnsi="Times New Roman" w:cs="Times New Roman"/>
        </w:rPr>
        <w:t xml:space="preserve">рассматриваемой </w:t>
      </w:r>
      <w:r>
        <w:rPr>
          <w:rFonts w:ascii="Times New Roman" w:hAnsi="Times New Roman" w:cs="Times New Roman"/>
        </w:rPr>
        <w:t xml:space="preserve">системы </w:t>
      </w:r>
      <w:r w:rsidR="003C6715" w:rsidRPr="00F5594B">
        <w:rPr>
          <w:rFonts w:ascii="Times New Roman" w:hAnsi="Times New Roman" w:cs="Times New Roman"/>
        </w:rPr>
        <w:t>п</w:t>
      </w:r>
      <w:r w:rsidR="0007258B" w:rsidRPr="00F5594B">
        <w:rPr>
          <w:rFonts w:ascii="Times New Roman" w:hAnsi="Times New Roman" w:cs="Times New Roman"/>
        </w:rPr>
        <w:t xml:space="preserve">рименительно к </w:t>
      </w:r>
      <w:r w:rsidR="003C6715" w:rsidRPr="00F5594B">
        <w:rPr>
          <w:rFonts w:ascii="Times New Roman" w:hAnsi="Times New Roman" w:cs="Times New Roman"/>
        </w:rPr>
        <w:t>обеспечению пожарной безопасности при перевозке ТК</w:t>
      </w:r>
      <w:r>
        <w:rPr>
          <w:rFonts w:ascii="Times New Roman" w:hAnsi="Times New Roman" w:cs="Times New Roman"/>
        </w:rPr>
        <w:t>О на железнодорожном транспорте являются</w:t>
      </w:r>
      <w:r w:rsidR="00420D05" w:rsidRPr="00F5594B">
        <w:rPr>
          <w:rFonts w:ascii="Times New Roman" w:hAnsi="Times New Roman" w:cs="Times New Roman"/>
        </w:rPr>
        <w:t>:</w:t>
      </w:r>
    </w:p>
    <w:p w:rsidR="000E4DA9" w:rsidRPr="00F5594B" w:rsidRDefault="003C6715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учет </w:t>
      </w:r>
      <w:r w:rsidR="000E4DA9" w:rsidRPr="00F5594B">
        <w:rPr>
          <w:rFonts w:ascii="Times New Roman" w:hAnsi="Times New Roman" w:cs="Times New Roman"/>
        </w:rPr>
        <w:t>и</w:t>
      </w:r>
      <w:r w:rsidRPr="00F5594B">
        <w:rPr>
          <w:rFonts w:ascii="Times New Roman" w:hAnsi="Times New Roman" w:cs="Times New Roman"/>
        </w:rPr>
        <w:t>зменений</w:t>
      </w:r>
      <w:r w:rsidR="000E4DA9" w:rsidRPr="00F5594B">
        <w:rPr>
          <w:rFonts w:ascii="Times New Roman" w:hAnsi="Times New Roman" w:cs="Times New Roman"/>
        </w:rPr>
        <w:t xml:space="preserve"> во времени объемов ТКО, требующих перевозки;</w:t>
      </w:r>
    </w:p>
    <w:p w:rsidR="00420D05" w:rsidRPr="00F5594B" w:rsidRDefault="00D56EE6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анализ </w:t>
      </w:r>
      <w:r w:rsidR="00420D05" w:rsidRPr="00F5594B">
        <w:rPr>
          <w:rFonts w:ascii="Times New Roman" w:hAnsi="Times New Roman" w:cs="Times New Roman"/>
        </w:rPr>
        <w:t xml:space="preserve">морфологического состава </w:t>
      </w:r>
      <w:r w:rsidR="000E4DA9" w:rsidRPr="00F5594B">
        <w:rPr>
          <w:rFonts w:ascii="Times New Roman" w:hAnsi="Times New Roman" w:cs="Times New Roman"/>
        </w:rPr>
        <w:t xml:space="preserve">ТКО </w:t>
      </w:r>
      <w:r w:rsidR="00420D05" w:rsidRPr="00F5594B">
        <w:rPr>
          <w:rFonts w:ascii="Times New Roman" w:hAnsi="Times New Roman" w:cs="Times New Roman"/>
        </w:rPr>
        <w:t xml:space="preserve">и </w:t>
      </w:r>
      <w:r w:rsidR="000E4DA9" w:rsidRPr="00F5594B">
        <w:rPr>
          <w:rFonts w:ascii="Times New Roman" w:hAnsi="Times New Roman" w:cs="Times New Roman"/>
        </w:rPr>
        <w:t xml:space="preserve">учет </w:t>
      </w:r>
      <w:r w:rsidR="00535B64" w:rsidRPr="00F5594B">
        <w:rPr>
          <w:rFonts w:ascii="Times New Roman" w:hAnsi="Times New Roman" w:cs="Times New Roman"/>
        </w:rPr>
        <w:t xml:space="preserve">его изменений при </w:t>
      </w:r>
      <w:r w:rsidR="00ED6863" w:rsidRPr="00F5594B">
        <w:rPr>
          <w:rFonts w:ascii="Times New Roman" w:hAnsi="Times New Roman" w:cs="Times New Roman"/>
        </w:rPr>
        <w:t xml:space="preserve">планировании и </w:t>
      </w:r>
      <w:r w:rsidR="00535B64" w:rsidRPr="00F5594B">
        <w:rPr>
          <w:rFonts w:ascii="Times New Roman" w:hAnsi="Times New Roman" w:cs="Times New Roman"/>
        </w:rPr>
        <w:t>осуществлении перевозочного процесса</w:t>
      </w:r>
      <w:r w:rsidR="00420D05" w:rsidRPr="00F5594B">
        <w:rPr>
          <w:rFonts w:ascii="Times New Roman" w:hAnsi="Times New Roman" w:cs="Times New Roman"/>
        </w:rPr>
        <w:t>;</w:t>
      </w:r>
    </w:p>
    <w:p w:rsidR="00FE11FB" w:rsidRPr="00F5594B" w:rsidRDefault="00FE11FB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оптимизация </w:t>
      </w:r>
      <w:r w:rsidR="00F671FF" w:rsidRPr="00F5594B">
        <w:rPr>
          <w:rFonts w:ascii="Times New Roman" w:hAnsi="Times New Roman" w:cs="Times New Roman"/>
        </w:rPr>
        <w:t xml:space="preserve">хранения и </w:t>
      </w:r>
      <w:r w:rsidRPr="00F5594B">
        <w:rPr>
          <w:rFonts w:ascii="Times New Roman" w:hAnsi="Times New Roman" w:cs="Times New Roman"/>
        </w:rPr>
        <w:t xml:space="preserve">перемещения мусора </w:t>
      </w:r>
      <w:r w:rsidR="00224678" w:rsidRPr="00F5594B">
        <w:rPr>
          <w:rFonts w:ascii="Times New Roman" w:hAnsi="Times New Roman" w:cs="Times New Roman"/>
        </w:rPr>
        <w:t xml:space="preserve">(сбор, доставка на мусороперегрузочный комплекс, </w:t>
      </w:r>
      <w:r w:rsidR="00F671FF" w:rsidRPr="00F5594B">
        <w:rPr>
          <w:rFonts w:ascii="Times New Roman" w:hAnsi="Times New Roman" w:cs="Times New Roman"/>
        </w:rPr>
        <w:t xml:space="preserve">размещение в местах временного накопления отходов, </w:t>
      </w:r>
      <w:r w:rsidR="00224678" w:rsidRPr="00F5594B">
        <w:rPr>
          <w:rFonts w:ascii="Times New Roman" w:hAnsi="Times New Roman" w:cs="Times New Roman"/>
        </w:rPr>
        <w:t>погрузка, транспорти</w:t>
      </w:r>
      <w:r w:rsidR="00F671FF" w:rsidRPr="00F5594B">
        <w:rPr>
          <w:rFonts w:ascii="Times New Roman" w:hAnsi="Times New Roman" w:cs="Times New Roman"/>
        </w:rPr>
        <w:t xml:space="preserve">рование, разгрузка, захоронение, </w:t>
      </w:r>
      <w:r w:rsidR="00224678" w:rsidRPr="00F5594B">
        <w:rPr>
          <w:rFonts w:ascii="Times New Roman" w:hAnsi="Times New Roman" w:cs="Times New Roman"/>
        </w:rPr>
        <w:t>утилизация) для минимизации временных простоев и уменьшения вероятности протекания процессов, приводящих к пожару и (или) взрыву;</w:t>
      </w:r>
    </w:p>
    <w:p w:rsidR="00A224C6" w:rsidRPr="00F5594B" w:rsidRDefault="00A224C6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контроль параметров ТКО (температура, давление, влажность и др.);</w:t>
      </w:r>
    </w:p>
    <w:p w:rsidR="00A224C6" w:rsidRPr="00F5594B" w:rsidRDefault="00A224C6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учет параметров окружающей среды (температура, давление);</w:t>
      </w:r>
    </w:p>
    <w:p w:rsidR="00420D05" w:rsidRPr="00F5594B" w:rsidRDefault="00ED6863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изменение концентрации биомасс</w:t>
      </w:r>
      <w:r w:rsidR="00D21940" w:rsidRPr="00F5594B">
        <w:rPr>
          <w:rFonts w:ascii="Times New Roman" w:hAnsi="Times New Roman" w:cs="Times New Roman"/>
        </w:rPr>
        <w:t xml:space="preserve">ы, </w:t>
      </w:r>
      <w:r w:rsidR="00420D05" w:rsidRPr="00F5594B">
        <w:rPr>
          <w:rFonts w:ascii="Times New Roman" w:hAnsi="Times New Roman" w:cs="Times New Roman"/>
        </w:rPr>
        <w:t xml:space="preserve">анализ содержания </w:t>
      </w:r>
      <w:r w:rsidR="00FE11FB" w:rsidRPr="00F5594B">
        <w:rPr>
          <w:rFonts w:ascii="Times New Roman" w:hAnsi="Times New Roman" w:cs="Times New Roman"/>
        </w:rPr>
        <w:t xml:space="preserve">взрывопожароопасных </w:t>
      </w:r>
      <w:r w:rsidR="00C133EA" w:rsidRPr="00F5594B">
        <w:rPr>
          <w:rFonts w:ascii="Times New Roman" w:hAnsi="Times New Roman" w:cs="Times New Roman"/>
        </w:rPr>
        <w:t>веществ</w:t>
      </w:r>
      <w:r w:rsidR="00420D05" w:rsidRPr="00F5594B">
        <w:rPr>
          <w:rFonts w:ascii="Times New Roman" w:hAnsi="Times New Roman" w:cs="Times New Roman"/>
        </w:rPr>
        <w:t>, своевременное выявление превышения критических уровней;</w:t>
      </w:r>
    </w:p>
    <w:p w:rsidR="003F0446" w:rsidRPr="00F5594B" w:rsidRDefault="003F0446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о</w:t>
      </w:r>
      <w:r w:rsidR="00D44ED4" w:rsidRPr="00F5594B">
        <w:rPr>
          <w:rFonts w:ascii="Times New Roman" w:hAnsi="Times New Roman" w:cs="Times New Roman"/>
        </w:rPr>
        <w:t>пределение уровня заполнения</w:t>
      </w:r>
      <w:r w:rsidR="00B656BE" w:rsidRPr="00F5594B">
        <w:rPr>
          <w:rFonts w:ascii="Times New Roman" w:hAnsi="Times New Roman" w:cs="Times New Roman"/>
        </w:rPr>
        <w:t xml:space="preserve"> </w:t>
      </w:r>
      <w:r w:rsidR="00D44ED4" w:rsidRPr="00F5594B">
        <w:rPr>
          <w:rFonts w:ascii="Times New Roman" w:hAnsi="Times New Roman" w:cs="Times New Roman"/>
        </w:rPr>
        <w:t>подвижного состава</w:t>
      </w:r>
      <w:r w:rsidR="001F239F">
        <w:rPr>
          <w:rFonts w:ascii="Times New Roman" w:hAnsi="Times New Roman" w:cs="Times New Roman"/>
        </w:rPr>
        <w:t xml:space="preserve"> в процессе погрузки, транспортировки и выгрузки</w:t>
      </w:r>
      <w:r w:rsidR="00D44ED4" w:rsidRPr="00F5594B">
        <w:rPr>
          <w:rFonts w:ascii="Times New Roman" w:hAnsi="Times New Roman" w:cs="Times New Roman"/>
        </w:rPr>
        <w:t>;</w:t>
      </w:r>
    </w:p>
    <w:p w:rsidR="00420D05" w:rsidRPr="00F5594B" w:rsidRDefault="00DE65E7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прогнозирование пожароопасных ситуаций</w:t>
      </w:r>
      <w:r w:rsidR="00224678" w:rsidRPr="00F5594B">
        <w:rPr>
          <w:rFonts w:ascii="Times New Roman" w:hAnsi="Times New Roman" w:cs="Times New Roman"/>
        </w:rPr>
        <w:t>.</w:t>
      </w:r>
    </w:p>
    <w:p w:rsidR="00FC6E49" w:rsidRPr="00F5594B" w:rsidRDefault="00FC6E49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C519E5" w:rsidRPr="009C55F3" w:rsidRDefault="00F32858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Results</w:t>
      </w:r>
      <w:r w:rsidRPr="009C55F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and</w:t>
      </w:r>
      <w:r w:rsidRPr="009C55F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discussions</w:t>
      </w:r>
    </w:p>
    <w:p w:rsidR="00067E17" w:rsidRPr="00F5594B" w:rsidRDefault="00E4136A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  <w:b/>
          <w:i/>
        </w:rPr>
        <w:t>Анализ морфологического состава ТКО и учет его изменений при осуществлении перевозочного процесса.</w:t>
      </w:r>
      <w:r w:rsidRPr="00F5594B">
        <w:rPr>
          <w:rFonts w:ascii="Times New Roman" w:hAnsi="Times New Roman" w:cs="Times New Roman"/>
        </w:rPr>
        <w:t xml:space="preserve"> </w:t>
      </w:r>
    </w:p>
    <w:p w:rsidR="00FC6E49" w:rsidRDefault="00FC6E49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Наиболее общими сведениями, на основании которых возможны оценка и прогноз показателей пожарной опасности, являются данные </w:t>
      </w:r>
      <w:r w:rsidR="0042613F">
        <w:rPr>
          <w:rFonts w:ascii="Times New Roman" w:hAnsi="Times New Roman" w:cs="Times New Roman"/>
        </w:rPr>
        <w:t>о морфологическом составе ТКО [7]. В Т</w:t>
      </w:r>
      <w:r w:rsidR="00AB2366" w:rsidRPr="00F5594B">
        <w:rPr>
          <w:rFonts w:ascii="Times New Roman" w:hAnsi="Times New Roman" w:cs="Times New Roman"/>
        </w:rPr>
        <w:t>аблице 2</w:t>
      </w:r>
      <w:r w:rsidRPr="00F5594B">
        <w:rPr>
          <w:rFonts w:ascii="Times New Roman" w:hAnsi="Times New Roman" w:cs="Times New Roman"/>
        </w:rPr>
        <w:t xml:space="preserve"> представле</w:t>
      </w:r>
      <w:r w:rsidR="00AB2366" w:rsidRPr="00F5594B">
        <w:rPr>
          <w:rFonts w:ascii="Times New Roman" w:hAnsi="Times New Roman" w:cs="Times New Roman"/>
        </w:rPr>
        <w:t>ны сведения по составу ТКО по городам</w:t>
      </w:r>
      <w:r w:rsidRPr="00F5594B">
        <w:rPr>
          <w:rFonts w:ascii="Times New Roman" w:hAnsi="Times New Roman" w:cs="Times New Roman"/>
        </w:rPr>
        <w:t xml:space="preserve"> Москва и Санкт-Петербург (Ленинград).</w:t>
      </w:r>
      <w:r w:rsidR="00BE49A1" w:rsidRPr="00F5594B">
        <w:rPr>
          <w:rFonts w:ascii="Times New Roman" w:hAnsi="Times New Roman" w:cs="Times New Roman"/>
        </w:rPr>
        <w:t xml:space="preserve"> Несовпадение итоговых знач</w:t>
      </w:r>
      <w:r w:rsidR="00BC3A02" w:rsidRPr="00F5594B">
        <w:rPr>
          <w:rFonts w:ascii="Times New Roman" w:hAnsi="Times New Roman" w:cs="Times New Roman"/>
        </w:rPr>
        <w:t xml:space="preserve">ений со 100% свидетельствует о </w:t>
      </w:r>
      <w:r w:rsidR="00BE49A1" w:rsidRPr="00F5594B">
        <w:rPr>
          <w:rFonts w:ascii="Times New Roman" w:hAnsi="Times New Roman" w:cs="Times New Roman"/>
        </w:rPr>
        <w:t xml:space="preserve">неточности полученных </w:t>
      </w:r>
      <w:r w:rsidR="00BC3A02" w:rsidRPr="00F5594B">
        <w:rPr>
          <w:rFonts w:ascii="Times New Roman" w:hAnsi="Times New Roman" w:cs="Times New Roman"/>
        </w:rPr>
        <w:t xml:space="preserve">в те годы </w:t>
      </w:r>
      <w:r w:rsidR="00BE49A1" w:rsidRPr="00F5594B">
        <w:rPr>
          <w:rFonts w:ascii="Times New Roman" w:hAnsi="Times New Roman" w:cs="Times New Roman"/>
        </w:rPr>
        <w:t>данных.</w:t>
      </w:r>
    </w:p>
    <w:p w:rsidR="0042613F" w:rsidRDefault="0042613F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42613F" w:rsidRPr="00F5594B" w:rsidRDefault="0042613F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2. Изменение морфологического состава ТКО для городов Москва и Санкт-Петербург (Ленинград)</w:t>
      </w:r>
    </w:p>
    <w:tbl>
      <w:tblPr>
        <w:tblStyle w:val="TableGrid"/>
        <w:tblW w:w="9571" w:type="dxa"/>
        <w:tblLayout w:type="fixed"/>
        <w:tblLook w:val="04A0" w:firstRow="1" w:lastRow="0" w:firstColumn="1" w:lastColumn="0" w:noHBand="0" w:noVBand="1"/>
      </w:tblPr>
      <w:tblGrid>
        <w:gridCol w:w="1665"/>
        <w:gridCol w:w="532"/>
        <w:gridCol w:w="567"/>
        <w:gridCol w:w="60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07"/>
        <w:gridCol w:w="25"/>
      </w:tblGrid>
      <w:tr w:rsidR="00C500F5" w:rsidRPr="00F5594B" w:rsidTr="00E20D6F">
        <w:trPr>
          <w:gridAfter w:val="1"/>
          <w:wAfter w:w="25" w:type="dxa"/>
          <w:trHeight w:val="319"/>
        </w:trPr>
        <w:tc>
          <w:tcPr>
            <w:tcW w:w="1665" w:type="dxa"/>
            <w:noWrap/>
            <w:hideMark/>
          </w:tcPr>
          <w:p w:rsidR="00631C18" w:rsidRPr="00F5594B" w:rsidRDefault="00631C18" w:rsidP="00F5594B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99" w:type="dxa"/>
            <w:gridSpan w:val="2"/>
            <w:hideMark/>
          </w:tcPr>
          <w:p w:rsidR="00631C18" w:rsidRPr="00F5594B" w:rsidRDefault="00631C18" w:rsidP="00F5594B">
            <w:pPr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1933-</w:t>
            </w:r>
          </w:p>
        </w:tc>
        <w:tc>
          <w:tcPr>
            <w:tcW w:w="1172" w:type="dxa"/>
            <w:gridSpan w:val="2"/>
            <w:hideMark/>
          </w:tcPr>
          <w:p w:rsidR="00631C18" w:rsidRPr="00F5594B" w:rsidRDefault="00631C18" w:rsidP="00F5594B">
            <w:pPr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1953</w:t>
            </w:r>
          </w:p>
        </w:tc>
        <w:tc>
          <w:tcPr>
            <w:tcW w:w="1134" w:type="dxa"/>
            <w:gridSpan w:val="2"/>
            <w:hideMark/>
          </w:tcPr>
          <w:p w:rsidR="00631C18" w:rsidRPr="00F5594B" w:rsidRDefault="00631C18" w:rsidP="00F5594B">
            <w:pPr>
              <w:ind w:left="-759" w:firstLine="709"/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1963</w:t>
            </w:r>
          </w:p>
        </w:tc>
        <w:tc>
          <w:tcPr>
            <w:tcW w:w="1134" w:type="dxa"/>
            <w:gridSpan w:val="2"/>
            <w:hideMark/>
          </w:tcPr>
          <w:p w:rsidR="00631C18" w:rsidRPr="00F5594B" w:rsidRDefault="00631C18" w:rsidP="00F5594B">
            <w:pPr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1970</w:t>
            </w:r>
          </w:p>
        </w:tc>
        <w:tc>
          <w:tcPr>
            <w:tcW w:w="1134" w:type="dxa"/>
            <w:gridSpan w:val="2"/>
            <w:hideMark/>
          </w:tcPr>
          <w:p w:rsidR="00631C18" w:rsidRPr="00F5594B" w:rsidRDefault="00631C18" w:rsidP="00F5594B">
            <w:pPr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</w:t>
            </w:r>
            <w:r w:rsidR="00C500F5" w:rsidRPr="00F5594B">
              <w:rPr>
                <w:rFonts w:ascii="Times New Roman" w:hAnsi="Times New Roman" w:cs="Times New Roman"/>
              </w:rPr>
              <w:t>986</w:t>
            </w:r>
          </w:p>
        </w:tc>
        <w:tc>
          <w:tcPr>
            <w:tcW w:w="1134" w:type="dxa"/>
            <w:gridSpan w:val="2"/>
            <w:hideMark/>
          </w:tcPr>
          <w:p w:rsidR="00631C18" w:rsidRPr="00F5594B" w:rsidRDefault="00631C18" w:rsidP="00F5594B">
            <w:pPr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</w:t>
            </w:r>
            <w:r w:rsidR="00EC4498" w:rsidRPr="00F5594B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074" w:type="dxa"/>
            <w:gridSpan w:val="2"/>
            <w:hideMark/>
          </w:tcPr>
          <w:p w:rsidR="00631C18" w:rsidRPr="00F5594B" w:rsidRDefault="00631C18" w:rsidP="00F5594B">
            <w:pPr>
              <w:jc w:val="both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2015</w:t>
            </w:r>
          </w:p>
        </w:tc>
      </w:tr>
      <w:tr w:rsidR="00441EDE" w:rsidRPr="00F5594B" w:rsidTr="00046A95">
        <w:trPr>
          <w:cantSplit/>
          <w:trHeight w:val="1282"/>
        </w:trPr>
        <w:tc>
          <w:tcPr>
            <w:tcW w:w="1665" w:type="dxa"/>
          </w:tcPr>
          <w:p w:rsidR="00441EDE" w:rsidRPr="00F5594B" w:rsidRDefault="00441EDE" w:rsidP="00F5594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567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Ленинград</w:t>
            </w:r>
          </w:p>
        </w:tc>
        <w:tc>
          <w:tcPr>
            <w:tcW w:w="605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567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Ленинград</w:t>
            </w:r>
          </w:p>
        </w:tc>
        <w:tc>
          <w:tcPr>
            <w:tcW w:w="567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567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Ленинград</w:t>
            </w:r>
          </w:p>
        </w:tc>
        <w:tc>
          <w:tcPr>
            <w:tcW w:w="567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567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Ленинград</w:t>
            </w:r>
          </w:p>
        </w:tc>
        <w:tc>
          <w:tcPr>
            <w:tcW w:w="567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567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Ленинград</w:t>
            </w:r>
          </w:p>
        </w:tc>
        <w:tc>
          <w:tcPr>
            <w:tcW w:w="567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567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Санкт-Петербург</w:t>
            </w:r>
          </w:p>
        </w:tc>
        <w:tc>
          <w:tcPr>
            <w:tcW w:w="567" w:type="dxa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532" w:type="dxa"/>
            <w:gridSpan w:val="2"/>
            <w:textDirection w:val="btLr"/>
            <w:vAlign w:val="center"/>
          </w:tcPr>
          <w:p w:rsidR="00441EDE" w:rsidRPr="00F5594B" w:rsidRDefault="00441EDE" w:rsidP="00F5594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Санкт-Петербург</w:t>
            </w:r>
          </w:p>
        </w:tc>
      </w:tr>
      <w:tr w:rsidR="00751785" w:rsidRPr="00F5594B" w:rsidTr="00441EDE">
        <w:trPr>
          <w:trHeight w:val="615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Пищевые отходы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22,2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right="-109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14,0</w:t>
            </w: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31,3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18,2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36,8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31,7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33,1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28,1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30,6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23,3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18,0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27,0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4,7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ind w:left="-108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27,4</w:t>
            </w:r>
          </w:p>
        </w:tc>
      </w:tr>
      <w:tr w:rsidR="00751785" w:rsidRPr="00F5594B" w:rsidTr="00441EDE">
        <w:trPr>
          <w:trHeight w:val="488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Бумага и картон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16,7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right="-109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9,0</w:t>
            </w: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16,4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13,2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36,4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24,3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34,0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30,0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37,7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22,5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19,7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21,0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4,3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ind w:left="-108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21,5</w:t>
            </w:r>
          </w:p>
        </w:tc>
      </w:tr>
      <w:tr w:rsidR="00751785" w:rsidRPr="00F5594B" w:rsidTr="00441EDE">
        <w:trPr>
          <w:trHeight w:val="315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Металлы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right="-109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4,9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5,2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89402D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4,8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4,7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3,30</w:t>
            </w:r>
          </w:p>
        </w:tc>
        <w:tc>
          <w:tcPr>
            <w:tcW w:w="567" w:type="dxa"/>
            <w:vAlign w:val="center"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1,8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2,0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ind w:left="-108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4,6</w:t>
            </w:r>
          </w:p>
        </w:tc>
      </w:tr>
      <w:tr w:rsidR="00751785" w:rsidRPr="00F5594B" w:rsidTr="00441EDE">
        <w:trPr>
          <w:trHeight w:val="315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Стекло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right="-109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2,6</w:t>
            </w: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5,1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3,7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8,8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4,6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7,4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3,70</w:t>
            </w:r>
          </w:p>
        </w:tc>
        <w:tc>
          <w:tcPr>
            <w:tcW w:w="567" w:type="dxa"/>
            <w:vAlign w:val="center"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6,8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16,8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1A6477">
            <w:pPr>
              <w:ind w:hanging="108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11,4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ind w:left="-108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8,9</w:t>
            </w:r>
          </w:p>
        </w:tc>
      </w:tr>
      <w:tr w:rsidR="00751785" w:rsidRPr="00F5594B" w:rsidTr="00441EDE">
        <w:trPr>
          <w:trHeight w:val="297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Полимерные материалы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  <w:hideMark/>
          </w:tcPr>
          <w:p w:rsidR="00751785" w:rsidRPr="00F5594B" w:rsidRDefault="0089402D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89402D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14,2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89402D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12,0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89402D">
            <w:pPr>
              <w:ind w:hanging="108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16,2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ind w:left="-108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15,2</w:t>
            </w:r>
          </w:p>
        </w:tc>
      </w:tr>
      <w:tr w:rsidR="00751785" w:rsidRPr="00F5594B" w:rsidTr="00441EDE">
        <w:trPr>
          <w:trHeight w:val="84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lastRenderedPageBreak/>
              <w:t>Текстиль,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4,3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4,3</w:t>
            </w: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4,6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5,40</w:t>
            </w:r>
          </w:p>
        </w:tc>
        <w:tc>
          <w:tcPr>
            <w:tcW w:w="567" w:type="dxa"/>
            <w:vAlign w:val="center"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7,7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130610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4,3</w:t>
            </w:r>
          </w:p>
        </w:tc>
      </w:tr>
      <w:tr w:rsidR="00751785" w:rsidRPr="00F5594B" w:rsidTr="00441EDE">
        <w:trPr>
          <w:trHeight w:val="331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Кожа, резина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89402D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2,2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89402D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567" w:type="dxa"/>
            <w:vAlign w:val="center"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4,2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1,8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1785" w:rsidRPr="00F5594B" w:rsidTr="00441EDE">
        <w:trPr>
          <w:trHeight w:val="315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Кости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2,2</w:t>
            </w: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4,1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3,7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2,1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1785" w:rsidRPr="00F5594B" w:rsidTr="00441EDE">
        <w:trPr>
          <w:trHeight w:val="243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Дерево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7,0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8,2</w:t>
            </w: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2,0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3,9</w:t>
            </w:r>
          </w:p>
        </w:tc>
        <w:tc>
          <w:tcPr>
            <w:tcW w:w="567" w:type="dxa"/>
            <w:vAlign w:val="center"/>
          </w:tcPr>
          <w:p w:rsidR="00751785" w:rsidRPr="00F5594B" w:rsidRDefault="0089402D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</w:t>
            </w:r>
          </w:p>
        </w:tc>
        <w:tc>
          <w:tcPr>
            <w:tcW w:w="567" w:type="dxa"/>
            <w:vAlign w:val="center"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5,2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5,0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130610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2,5</w:t>
            </w:r>
          </w:p>
        </w:tc>
      </w:tr>
      <w:tr w:rsidR="00751785" w:rsidRPr="00F5594B" w:rsidTr="00441EDE">
        <w:trPr>
          <w:trHeight w:val="260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Уголь, шлаки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right="-176" w:firstLine="3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right="-176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1785" w:rsidRPr="00F5594B" w:rsidTr="00441EDE">
        <w:trPr>
          <w:trHeight w:val="419"/>
        </w:trPr>
        <w:tc>
          <w:tcPr>
            <w:tcW w:w="1665" w:type="dxa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Камни</w:t>
            </w:r>
          </w:p>
        </w:tc>
        <w:tc>
          <w:tcPr>
            <w:tcW w:w="532" w:type="dxa"/>
            <w:vAlign w:val="center"/>
          </w:tcPr>
          <w:p w:rsidR="00751785" w:rsidRPr="00F5594B" w:rsidRDefault="00751785" w:rsidP="001A6477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5,1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1A6477">
            <w:pPr>
              <w:tabs>
                <w:tab w:val="left" w:pos="43"/>
              </w:tabs>
              <w:ind w:left="-142" w:hanging="70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11,0</w:t>
            </w:r>
          </w:p>
        </w:tc>
        <w:tc>
          <w:tcPr>
            <w:tcW w:w="605" w:type="dxa"/>
            <w:vAlign w:val="center"/>
          </w:tcPr>
          <w:p w:rsidR="00751785" w:rsidRPr="00F5594B" w:rsidRDefault="00751785" w:rsidP="001A6477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6,0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6,9</w:t>
            </w:r>
          </w:p>
        </w:tc>
        <w:tc>
          <w:tcPr>
            <w:tcW w:w="567" w:type="dxa"/>
            <w:vAlign w:val="center"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567" w:type="dxa"/>
            <w:vAlign w:val="center"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2,9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2,2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89402D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1785" w:rsidRPr="00F5594B" w:rsidTr="00441EDE">
        <w:trPr>
          <w:trHeight w:val="383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Прочие материалы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89402D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5,4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5,3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5,2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130610" w:rsidP="00F5594B">
            <w:pPr>
              <w:ind w:left="-108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15,6</w:t>
            </w:r>
          </w:p>
        </w:tc>
      </w:tr>
      <w:tr w:rsidR="00751785" w:rsidRPr="00F5594B" w:rsidTr="00441EDE">
        <w:trPr>
          <w:trHeight w:val="301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Крупный отсев (15 мм)</w:t>
            </w:r>
          </w:p>
        </w:tc>
        <w:tc>
          <w:tcPr>
            <w:tcW w:w="532" w:type="dxa"/>
            <w:vMerge w:val="restart"/>
            <w:vAlign w:val="center"/>
            <w:hideMark/>
          </w:tcPr>
          <w:p w:rsidR="00751785" w:rsidRPr="00F5594B" w:rsidRDefault="00751785" w:rsidP="00F5594B">
            <w:pPr>
              <w:ind w:left="-142" w:firstLine="37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39,0</w:t>
            </w:r>
          </w:p>
        </w:tc>
        <w:tc>
          <w:tcPr>
            <w:tcW w:w="567" w:type="dxa"/>
            <w:vMerge w:val="restart"/>
            <w:vAlign w:val="center"/>
          </w:tcPr>
          <w:p w:rsidR="00751785" w:rsidRPr="00F5594B" w:rsidRDefault="00751785" w:rsidP="001A6477">
            <w:pPr>
              <w:tabs>
                <w:tab w:val="left" w:pos="43"/>
              </w:tabs>
              <w:ind w:left="-142" w:right="-146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38,5</w:t>
            </w:r>
          </w:p>
        </w:tc>
        <w:tc>
          <w:tcPr>
            <w:tcW w:w="605" w:type="dxa"/>
            <w:vMerge w:val="restart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40,0</w:t>
            </w:r>
          </w:p>
        </w:tc>
        <w:tc>
          <w:tcPr>
            <w:tcW w:w="567" w:type="dxa"/>
            <w:vMerge w:val="restart"/>
            <w:vAlign w:val="center"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36,5</w:t>
            </w:r>
          </w:p>
        </w:tc>
        <w:tc>
          <w:tcPr>
            <w:tcW w:w="567" w:type="dxa"/>
            <w:vMerge w:val="restart"/>
            <w:vAlign w:val="center"/>
            <w:hideMark/>
          </w:tcPr>
          <w:p w:rsidR="00751785" w:rsidRPr="00F5594B" w:rsidRDefault="001A6477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6,3</w:t>
            </w:r>
          </w:p>
        </w:tc>
        <w:tc>
          <w:tcPr>
            <w:tcW w:w="567" w:type="dxa"/>
            <w:vMerge w:val="restart"/>
            <w:vAlign w:val="center"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15,4</w:t>
            </w:r>
          </w:p>
        </w:tc>
        <w:tc>
          <w:tcPr>
            <w:tcW w:w="567" w:type="dxa"/>
            <w:vMerge w:val="restart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567" w:type="dxa"/>
            <w:vMerge w:val="restart"/>
            <w:vAlign w:val="center"/>
          </w:tcPr>
          <w:p w:rsidR="00751785" w:rsidRPr="00F5594B" w:rsidRDefault="00751785" w:rsidP="0089402D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11,8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CA7CA6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1A6477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12,4</w:t>
            </w:r>
          </w:p>
        </w:tc>
        <w:tc>
          <w:tcPr>
            <w:tcW w:w="567" w:type="dxa"/>
            <w:vMerge w:val="restart"/>
            <w:vAlign w:val="center"/>
            <w:hideMark/>
          </w:tcPr>
          <w:p w:rsidR="00751785" w:rsidRPr="00F5594B" w:rsidRDefault="00751785" w:rsidP="0089402D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10,4</w:t>
            </w:r>
          </w:p>
        </w:tc>
        <w:tc>
          <w:tcPr>
            <w:tcW w:w="567" w:type="dxa"/>
            <w:vMerge w:val="restart"/>
            <w:vAlign w:val="center"/>
            <w:hideMark/>
          </w:tcPr>
          <w:p w:rsidR="00751785" w:rsidRPr="00F5594B" w:rsidRDefault="00751785" w:rsidP="0089402D">
            <w:pPr>
              <w:ind w:hanging="108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7,3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1785" w:rsidRPr="00F5594B" w:rsidTr="00441EDE">
        <w:trPr>
          <w:trHeight w:val="451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Мелкий отсев</w:t>
            </w:r>
          </w:p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 xml:space="preserve"> (3 мм)</w:t>
            </w:r>
          </w:p>
        </w:tc>
        <w:tc>
          <w:tcPr>
            <w:tcW w:w="532" w:type="dxa"/>
            <w:vMerge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vMerge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CA7CA6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9,7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3,7</w:t>
            </w:r>
          </w:p>
        </w:tc>
        <w:tc>
          <w:tcPr>
            <w:tcW w:w="567" w:type="dxa"/>
            <w:vMerge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1785" w:rsidRPr="00F5594B" w:rsidTr="00441EDE">
        <w:trPr>
          <w:trHeight w:val="415"/>
        </w:trPr>
        <w:tc>
          <w:tcPr>
            <w:tcW w:w="1665" w:type="dxa"/>
            <w:hideMark/>
          </w:tcPr>
          <w:p w:rsidR="00751785" w:rsidRPr="00F5594B" w:rsidRDefault="00751785" w:rsidP="00F5594B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Композиционная упаковка</w:t>
            </w:r>
          </w:p>
        </w:tc>
        <w:tc>
          <w:tcPr>
            <w:tcW w:w="532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tabs>
                <w:tab w:val="left" w:pos="43"/>
              </w:tabs>
              <w:ind w:left="-142" w:firstLine="14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5" w:type="dxa"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89402D">
            <w:pPr>
              <w:ind w:left="-142" w:firstLine="34"/>
              <w:jc w:val="center"/>
              <w:rPr>
                <w:rFonts w:ascii="Times New Roman" w:hAnsi="Times New Roman" w:cs="Times New Roman"/>
                <w:bCs/>
              </w:rPr>
            </w:pPr>
            <w:r w:rsidRPr="00F5594B">
              <w:rPr>
                <w:rFonts w:ascii="Times New Roman" w:hAnsi="Times New Roman" w:cs="Times New Roman"/>
                <w:bCs/>
              </w:rPr>
              <w:t>12,1</w:t>
            </w:r>
          </w:p>
        </w:tc>
        <w:tc>
          <w:tcPr>
            <w:tcW w:w="567" w:type="dxa"/>
            <w:vAlign w:val="center"/>
            <w:hideMark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5594B">
              <w:rPr>
                <w:rFonts w:ascii="Times New Roman" w:hAnsi="Times New Roman" w:cs="Times New Roman"/>
                <w:bCs/>
              </w:rPr>
              <w:t>2,5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751785" w:rsidP="00F559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51785" w:rsidRPr="00F5594B" w:rsidTr="00441EDE">
        <w:trPr>
          <w:trHeight w:val="300"/>
        </w:trPr>
        <w:tc>
          <w:tcPr>
            <w:tcW w:w="1665" w:type="dxa"/>
            <w:noWrap/>
            <w:hideMark/>
          </w:tcPr>
          <w:p w:rsidR="00751785" w:rsidRPr="00F5594B" w:rsidRDefault="00751785" w:rsidP="00F5594B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532" w:type="dxa"/>
            <w:noWrap/>
            <w:vAlign w:val="center"/>
            <w:hideMark/>
          </w:tcPr>
          <w:p w:rsidR="00751785" w:rsidRPr="00F5594B" w:rsidRDefault="00751785" w:rsidP="00F5594B">
            <w:pPr>
              <w:ind w:left="-14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99,5</w:t>
            </w:r>
          </w:p>
        </w:tc>
        <w:tc>
          <w:tcPr>
            <w:tcW w:w="567" w:type="dxa"/>
            <w:vAlign w:val="center"/>
          </w:tcPr>
          <w:p w:rsidR="00751785" w:rsidRPr="00F5594B" w:rsidRDefault="001A6477" w:rsidP="00F5594B">
            <w:pPr>
              <w:tabs>
                <w:tab w:val="left" w:pos="43"/>
              </w:tabs>
              <w:ind w:left="-142" w:right="-141" w:firstLine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92,8</w:t>
            </w:r>
          </w:p>
        </w:tc>
        <w:tc>
          <w:tcPr>
            <w:tcW w:w="605" w:type="dxa"/>
            <w:noWrap/>
            <w:vAlign w:val="center"/>
            <w:hideMark/>
          </w:tcPr>
          <w:p w:rsidR="00751785" w:rsidRPr="00F5594B" w:rsidRDefault="00751785" w:rsidP="00F5594B">
            <w:pPr>
              <w:ind w:left="-142" w:right="-108" w:firstLine="14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12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100,4</w:t>
            </w:r>
          </w:p>
        </w:tc>
        <w:tc>
          <w:tcPr>
            <w:tcW w:w="567" w:type="dxa"/>
            <w:noWrap/>
            <w:vAlign w:val="center"/>
            <w:hideMark/>
          </w:tcPr>
          <w:p w:rsidR="00751785" w:rsidRPr="00F5594B" w:rsidRDefault="00751785" w:rsidP="001A6477">
            <w:pPr>
              <w:ind w:left="-142" w:right="-108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567" w:type="dxa"/>
            <w:noWrap/>
            <w:vAlign w:val="center"/>
            <w:hideMark/>
          </w:tcPr>
          <w:p w:rsidR="00751785" w:rsidRPr="00F5594B" w:rsidRDefault="00751785" w:rsidP="001A6477">
            <w:pPr>
              <w:ind w:left="-142" w:right="-108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91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22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100,4</w:t>
            </w:r>
          </w:p>
        </w:tc>
        <w:tc>
          <w:tcPr>
            <w:tcW w:w="567" w:type="dxa"/>
            <w:noWrap/>
            <w:vAlign w:val="center"/>
          </w:tcPr>
          <w:p w:rsidR="00751785" w:rsidRPr="00F5594B" w:rsidRDefault="00751785" w:rsidP="001A6477">
            <w:pPr>
              <w:ind w:left="-142" w:right="-108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567" w:type="dxa"/>
            <w:noWrap/>
            <w:vAlign w:val="center"/>
            <w:hideMark/>
          </w:tcPr>
          <w:p w:rsidR="00751785" w:rsidRPr="00F5594B" w:rsidRDefault="00751785" w:rsidP="001A6477">
            <w:pPr>
              <w:ind w:left="-142" w:right="-108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567" w:type="dxa"/>
            <w:noWrap/>
            <w:vAlign w:val="center"/>
            <w:hideMark/>
          </w:tcPr>
          <w:p w:rsidR="00751785" w:rsidRPr="00F5594B" w:rsidRDefault="00751785" w:rsidP="00F5594B">
            <w:pPr>
              <w:ind w:left="-142" w:hanging="108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567" w:type="dxa"/>
            <w:vAlign w:val="center"/>
          </w:tcPr>
          <w:p w:rsidR="00751785" w:rsidRPr="00F5594B" w:rsidRDefault="00751785" w:rsidP="00F5594B">
            <w:pPr>
              <w:ind w:left="-142" w:right="-108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532" w:type="dxa"/>
            <w:gridSpan w:val="2"/>
            <w:vAlign w:val="center"/>
          </w:tcPr>
          <w:p w:rsidR="00751785" w:rsidRPr="00F5594B" w:rsidRDefault="004F14F3" w:rsidP="00F5594B">
            <w:pPr>
              <w:ind w:left="-142" w:right="-143" w:firstLine="34"/>
              <w:jc w:val="center"/>
              <w:rPr>
                <w:rFonts w:ascii="Times New Roman" w:hAnsi="Times New Roman" w:cs="Times New Roman"/>
              </w:rPr>
            </w:pPr>
            <w:r w:rsidRPr="00F5594B">
              <w:rPr>
                <w:rFonts w:ascii="Times New Roman" w:hAnsi="Times New Roman" w:cs="Times New Roman"/>
              </w:rPr>
              <w:t>100,0</w:t>
            </w:r>
          </w:p>
        </w:tc>
      </w:tr>
    </w:tbl>
    <w:p w:rsidR="00BC3A02" w:rsidRPr="00F5594B" w:rsidRDefault="00BC3A02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C6E49" w:rsidRPr="00F5594B" w:rsidRDefault="00EB219E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Разнообразие морфологического состава отходов, происходящие сложные химические и биохимические процессы, изменение концентрации кислорода и продуктов разложения, выделение тепла, наличие катализаторов, влажность и другие условия оказывают существенное влияние на процессы самовозгорания, воспламенения и самонагревания твердых отходов. Эти факторы могут сильно варьироваться и трудно поддаются контрол</w:t>
      </w:r>
      <w:r w:rsidR="009912AF" w:rsidRPr="00F5594B">
        <w:rPr>
          <w:rFonts w:ascii="Times New Roman" w:hAnsi="Times New Roman" w:cs="Times New Roman"/>
        </w:rPr>
        <w:t xml:space="preserve">ю, например, из-за </w:t>
      </w:r>
      <w:r w:rsidRPr="00F5594B">
        <w:rPr>
          <w:rFonts w:ascii="Times New Roman" w:hAnsi="Times New Roman" w:cs="Times New Roman"/>
        </w:rPr>
        <w:t>неоднородности твердых отхо</w:t>
      </w:r>
      <w:r w:rsidR="008D4E9D">
        <w:rPr>
          <w:rFonts w:ascii="Times New Roman" w:hAnsi="Times New Roman" w:cs="Times New Roman"/>
        </w:rPr>
        <w:t>дов [7</w:t>
      </w:r>
      <w:r w:rsidRPr="00F5594B">
        <w:rPr>
          <w:rFonts w:ascii="Times New Roman" w:hAnsi="Times New Roman" w:cs="Times New Roman"/>
        </w:rPr>
        <w:t>].</w:t>
      </w:r>
    </w:p>
    <w:p w:rsidR="0077782C" w:rsidRPr="00F5594B" w:rsidRDefault="00990B28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Изменение химической эксергии</w:t>
      </w:r>
      <w:r w:rsidR="0077782C" w:rsidRPr="00F5594B">
        <w:rPr>
          <w:rFonts w:ascii="Times New Roman" w:hAnsi="Times New Roman" w:cs="Times New Roman"/>
        </w:rPr>
        <w:t xml:space="preserve"> в различные периоды времени для городов Москва и Санкт-Петербург приведено на Рисунке</w:t>
      </w:r>
      <w:r w:rsidRPr="00F5594B">
        <w:rPr>
          <w:rFonts w:ascii="Times New Roman" w:hAnsi="Times New Roman" w:cs="Times New Roman"/>
        </w:rPr>
        <w:t xml:space="preserve"> 2</w:t>
      </w:r>
      <w:r w:rsidR="0077782C" w:rsidRPr="00F5594B">
        <w:rPr>
          <w:rFonts w:ascii="Times New Roman" w:hAnsi="Times New Roman" w:cs="Times New Roman"/>
        </w:rPr>
        <w:t>.</w:t>
      </w:r>
      <w:r w:rsidR="00680039" w:rsidRPr="00F5594B">
        <w:rPr>
          <w:rFonts w:ascii="Times New Roman" w:hAnsi="Times New Roman" w:cs="Times New Roman"/>
        </w:rPr>
        <w:t xml:space="preserve"> Расчет проводи</w:t>
      </w:r>
      <w:r w:rsidR="00FE79D9">
        <w:rPr>
          <w:rFonts w:ascii="Times New Roman" w:hAnsi="Times New Roman" w:cs="Times New Roman"/>
        </w:rPr>
        <w:t>лся по методике, изложенной в [6, 8</w:t>
      </w:r>
      <w:r w:rsidR="00680039" w:rsidRPr="00F5594B">
        <w:rPr>
          <w:rFonts w:ascii="Times New Roman" w:hAnsi="Times New Roman" w:cs="Times New Roman"/>
        </w:rPr>
        <w:t>].</w:t>
      </w:r>
    </w:p>
    <w:p w:rsidR="001304B6" w:rsidRPr="00F5594B" w:rsidRDefault="001304B6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tbl>
      <w:tblPr>
        <w:tblStyle w:val="181"/>
        <w:tblW w:w="926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5046"/>
      </w:tblGrid>
      <w:tr w:rsidR="00F92925" w:rsidRPr="00F5594B" w:rsidTr="00F92925">
        <w:trPr>
          <w:trHeight w:val="3547"/>
        </w:trPr>
        <w:tc>
          <w:tcPr>
            <w:tcW w:w="4605" w:type="dxa"/>
          </w:tcPr>
          <w:p w:rsidR="00F92925" w:rsidRPr="00F5594B" w:rsidRDefault="00F92925" w:rsidP="00F5594B">
            <w:pPr>
              <w:jc w:val="center"/>
              <w:rPr>
                <w:rFonts w:eastAsia="Calibri"/>
                <w:sz w:val="22"/>
                <w:szCs w:val="22"/>
              </w:rPr>
            </w:pPr>
            <w:r w:rsidRPr="00F5594B">
              <w:rPr>
                <w:rFonts w:eastAsia="Calibri"/>
                <w:noProof/>
              </w:rPr>
              <w:drawing>
                <wp:inline distT="0" distB="0" distL="0" distR="0" wp14:anchorId="3CBB3BDC" wp14:editId="75F4373E">
                  <wp:extent cx="3028950" cy="2457450"/>
                  <wp:effectExtent l="0" t="0" r="19050" b="1905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E735B69C-CCAB-E14F-BFEF-9999C129ED2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4661" w:type="dxa"/>
          </w:tcPr>
          <w:p w:rsidR="00F92925" w:rsidRPr="00F5594B" w:rsidRDefault="00F92925" w:rsidP="00F5594B">
            <w:pPr>
              <w:rPr>
                <w:rFonts w:eastAsia="Calibri"/>
                <w:sz w:val="22"/>
                <w:szCs w:val="22"/>
              </w:rPr>
            </w:pPr>
            <w:r w:rsidRPr="00F5594B">
              <w:rPr>
                <w:rFonts w:eastAsia="Calibri"/>
                <w:noProof/>
              </w:rPr>
              <w:drawing>
                <wp:inline distT="0" distB="0" distL="0" distR="0" wp14:anchorId="34F83AF0" wp14:editId="31F9D4F1">
                  <wp:extent cx="3057525" cy="2457450"/>
                  <wp:effectExtent l="0" t="0" r="9525" b="19050"/>
                  <wp:docPr id="3" name="Диаграмма 3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1C68A442-1408-FF45-9EA6-33688D9B88F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:rsidR="006E1060" w:rsidRPr="00F5594B" w:rsidRDefault="006E1060" w:rsidP="00F5594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Рисунок </w:t>
      </w:r>
      <w:r w:rsidR="00990B28" w:rsidRPr="00F5594B">
        <w:rPr>
          <w:rFonts w:ascii="Times New Roman" w:hAnsi="Times New Roman" w:cs="Times New Roman"/>
        </w:rPr>
        <w:t xml:space="preserve">2 </w:t>
      </w:r>
      <w:r w:rsidRPr="00F5594B">
        <w:rPr>
          <w:rFonts w:ascii="Times New Roman" w:hAnsi="Times New Roman" w:cs="Times New Roman"/>
        </w:rPr>
        <w:t>- Гистограмма изменения эксергии ТКО по годам: а) г.</w:t>
      </w:r>
      <w:r w:rsidR="00981129" w:rsidRPr="00F5594B">
        <w:rPr>
          <w:rFonts w:ascii="Times New Roman" w:hAnsi="Times New Roman" w:cs="Times New Roman"/>
        </w:rPr>
        <w:t> </w:t>
      </w:r>
      <w:r w:rsidRPr="00F5594B">
        <w:rPr>
          <w:rFonts w:ascii="Times New Roman" w:hAnsi="Times New Roman" w:cs="Times New Roman"/>
        </w:rPr>
        <w:t>Москва; б) г. Санкт-Петербург (Ленинград)</w:t>
      </w:r>
    </w:p>
    <w:p w:rsidR="009A687C" w:rsidRPr="00F5594B" w:rsidRDefault="009A687C" w:rsidP="00F5594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</w:rPr>
      </w:pPr>
    </w:p>
    <w:p w:rsidR="00F47162" w:rsidRPr="00F5594B" w:rsidRDefault="009A687C" w:rsidP="00F5594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  <w:color w:val="FF0000"/>
        </w:rPr>
        <w:t xml:space="preserve">Процессы, происходящие при аэробном и анаэробном </w:t>
      </w:r>
      <w:r w:rsidR="005A1D22" w:rsidRPr="00F5594B">
        <w:rPr>
          <w:rFonts w:ascii="Times New Roman" w:hAnsi="Times New Roman" w:cs="Times New Roman"/>
          <w:color w:val="FF0000"/>
        </w:rPr>
        <w:t>разложении ТКО</w:t>
      </w:r>
      <w:r w:rsidR="007D1BA0" w:rsidRPr="00F5594B">
        <w:rPr>
          <w:rFonts w:ascii="Times New Roman" w:hAnsi="Times New Roman" w:cs="Times New Roman"/>
          <w:color w:val="FF0000"/>
        </w:rPr>
        <w:t xml:space="preserve"> на глубине 1 м</w:t>
      </w:r>
      <w:r w:rsidR="005A1D22" w:rsidRPr="00F5594B">
        <w:rPr>
          <w:rFonts w:ascii="Times New Roman" w:hAnsi="Times New Roman" w:cs="Times New Roman"/>
          <w:color w:val="FF0000"/>
        </w:rPr>
        <w:t xml:space="preserve">, моделировали с использованием ПО Comsol Multiphysics. </w:t>
      </w:r>
      <w:r w:rsidR="00FD5373" w:rsidRPr="00F5594B">
        <w:rPr>
          <w:rFonts w:ascii="Times New Roman" w:hAnsi="Times New Roman" w:cs="Times New Roman"/>
          <w:color w:val="FF0000"/>
        </w:rPr>
        <w:t>На рисунке</w:t>
      </w:r>
      <w:r w:rsidR="005A1D22" w:rsidRPr="00F5594B">
        <w:rPr>
          <w:rFonts w:ascii="Times New Roman" w:hAnsi="Times New Roman" w:cs="Times New Roman"/>
          <w:color w:val="FF0000"/>
        </w:rPr>
        <w:t xml:space="preserve"> 3</w:t>
      </w:r>
      <w:r w:rsidR="00FD5373" w:rsidRPr="00F5594B">
        <w:rPr>
          <w:rFonts w:ascii="Times New Roman" w:hAnsi="Times New Roman" w:cs="Times New Roman"/>
          <w:color w:val="FF0000"/>
        </w:rPr>
        <w:t xml:space="preserve"> представлена модель </w:t>
      </w:r>
      <w:r w:rsidR="00234A6A" w:rsidRPr="00F5594B">
        <w:rPr>
          <w:rFonts w:ascii="Times New Roman" w:hAnsi="Times New Roman" w:cs="Times New Roman"/>
          <w:color w:val="FF0000"/>
        </w:rPr>
        <w:t>полувагона</w:t>
      </w:r>
      <w:r w:rsidR="00BA7968" w:rsidRPr="00F5594B">
        <w:rPr>
          <w:rFonts w:ascii="Times New Roman" w:hAnsi="Times New Roman" w:cs="Times New Roman"/>
          <w:color w:val="FF0000"/>
        </w:rPr>
        <w:t>, выполненная</w:t>
      </w:r>
      <w:r w:rsidR="007D1BA0" w:rsidRPr="00F5594B">
        <w:rPr>
          <w:rFonts w:ascii="Times New Roman" w:hAnsi="Times New Roman" w:cs="Times New Roman"/>
          <w:color w:val="FF0000"/>
        </w:rPr>
        <w:t xml:space="preserve"> в 2d проекции.</w:t>
      </w:r>
    </w:p>
    <w:p w:rsidR="000D1A61" w:rsidRPr="00F5594B" w:rsidRDefault="000D1A61" w:rsidP="00F5594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5594B">
        <w:rPr>
          <w:rFonts w:ascii="Times New Roman" w:eastAsia="Calibri" w:hAnsi="Times New Roman" w:cs="Times New Roman"/>
          <w:noProof/>
          <w:lang w:eastAsia="ru-RU"/>
        </w:rPr>
        <w:lastRenderedPageBreak/>
        <w:drawing>
          <wp:inline distT="0" distB="0" distL="0" distR="0" wp14:anchorId="586AED87" wp14:editId="192734EE">
            <wp:extent cx="5448300" cy="1838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29487" r="4167" b="29274"/>
                    <a:stretch/>
                  </pic:blipFill>
                  <pic:spPr bwMode="auto">
                    <a:xfrm>
                      <a:off x="0" y="0"/>
                      <a:ext cx="544830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A61" w:rsidRPr="00F5594B" w:rsidRDefault="007D1BA0" w:rsidP="00F5594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  <w:b/>
        </w:rPr>
        <w:t>Рисунок 3</w:t>
      </w:r>
      <w:r w:rsidR="000D1A61" w:rsidRPr="00F5594B">
        <w:rPr>
          <w:rFonts w:ascii="Times New Roman" w:hAnsi="Times New Roman" w:cs="Times New Roman"/>
          <w:b/>
        </w:rPr>
        <w:t xml:space="preserve"> – </w:t>
      </w:r>
      <w:r w:rsidR="000D1A61" w:rsidRPr="00F5594B">
        <w:rPr>
          <w:rFonts w:ascii="Times New Roman" w:hAnsi="Times New Roman" w:cs="Times New Roman"/>
        </w:rPr>
        <w:t xml:space="preserve">Модель </w:t>
      </w:r>
      <w:r w:rsidR="009912AF" w:rsidRPr="00F5594B">
        <w:rPr>
          <w:rFonts w:ascii="Times New Roman" w:hAnsi="Times New Roman" w:cs="Times New Roman"/>
          <w:color w:val="FF0000"/>
        </w:rPr>
        <w:t xml:space="preserve">вагона </w:t>
      </w:r>
      <w:r w:rsidR="00234A6A" w:rsidRPr="00F5594B">
        <w:rPr>
          <w:rFonts w:ascii="Times New Roman" w:hAnsi="Times New Roman" w:cs="Times New Roman"/>
          <w:color w:val="FF0000"/>
        </w:rPr>
        <w:t xml:space="preserve"> с </w:t>
      </w:r>
      <w:r w:rsidR="000D1A61" w:rsidRPr="00F5594B">
        <w:rPr>
          <w:rFonts w:ascii="Times New Roman" w:hAnsi="Times New Roman" w:cs="Times New Roman"/>
        </w:rPr>
        <w:t>ТКО</w:t>
      </w:r>
    </w:p>
    <w:p w:rsidR="00067E17" w:rsidRPr="00F5594B" w:rsidRDefault="00067E17" w:rsidP="00F5594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</w:rPr>
      </w:pPr>
    </w:p>
    <w:p w:rsidR="00AC20B5" w:rsidRPr="00F5594B" w:rsidRDefault="00067E17" w:rsidP="00F5594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</w:rPr>
      </w:pPr>
      <w:r w:rsidRPr="00F5594B">
        <w:rPr>
          <w:rFonts w:ascii="Times New Roman" w:hAnsi="Times New Roman" w:cs="Times New Roman"/>
          <w:b/>
          <w:i/>
        </w:rPr>
        <w:t>Контроль параметров ТКО.</w:t>
      </w:r>
    </w:p>
    <w:p w:rsidR="00C472F6" w:rsidRPr="00F5594B" w:rsidRDefault="008960F5" w:rsidP="00F5594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Повышение температуры</w:t>
      </w:r>
      <w:r w:rsidR="007D1BA0" w:rsidRPr="00F5594B">
        <w:rPr>
          <w:rFonts w:ascii="Times New Roman" w:hAnsi="Times New Roman" w:cs="Times New Roman"/>
        </w:rPr>
        <w:t xml:space="preserve"> с</w:t>
      </w:r>
      <w:r w:rsidRPr="00F5594B">
        <w:rPr>
          <w:rFonts w:ascii="Times New Roman" w:hAnsi="Times New Roman" w:cs="Times New Roman"/>
        </w:rPr>
        <w:t xml:space="preserve">видетельствует о протекании </w:t>
      </w:r>
      <w:r w:rsidR="007D1BA0" w:rsidRPr="00F5594B">
        <w:rPr>
          <w:rFonts w:ascii="Times New Roman" w:hAnsi="Times New Roman" w:cs="Times New Roman"/>
        </w:rPr>
        <w:t xml:space="preserve">термических, химических, микробиологических </w:t>
      </w:r>
      <w:r w:rsidRPr="00F5594B">
        <w:rPr>
          <w:rFonts w:ascii="Times New Roman" w:hAnsi="Times New Roman" w:cs="Times New Roman"/>
        </w:rPr>
        <w:t>процессов</w:t>
      </w:r>
      <w:r w:rsidR="007D1BA0" w:rsidRPr="00F5594B">
        <w:rPr>
          <w:rFonts w:ascii="Times New Roman" w:hAnsi="Times New Roman" w:cs="Times New Roman"/>
        </w:rPr>
        <w:t>, идущих</w:t>
      </w:r>
      <w:r w:rsidRPr="00F5594B">
        <w:rPr>
          <w:rFonts w:ascii="Times New Roman" w:hAnsi="Times New Roman" w:cs="Times New Roman"/>
        </w:rPr>
        <w:t xml:space="preserve"> с выделением тепла. </w:t>
      </w:r>
      <w:r w:rsidR="00BF2D2E" w:rsidRPr="00F5594B">
        <w:rPr>
          <w:rFonts w:ascii="Times New Roman" w:hAnsi="Times New Roman" w:cs="Times New Roman"/>
        </w:rPr>
        <w:t>Определяется соотношением между т</w:t>
      </w:r>
      <w:r w:rsidRPr="00F5594B">
        <w:rPr>
          <w:rFonts w:ascii="Times New Roman" w:hAnsi="Times New Roman" w:cs="Times New Roman"/>
        </w:rPr>
        <w:t>еплоотвод</w:t>
      </w:r>
      <w:r w:rsidR="00BF2D2E" w:rsidRPr="00F5594B">
        <w:rPr>
          <w:rFonts w:ascii="Times New Roman" w:hAnsi="Times New Roman" w:cs="Times New Roman"/>
        </w:rPr>
        <w:t>ом</w:t>
      </w:r>
      <w:r w:rsidRPr="00F5594B">
        <w:rPr>
          <w:rFonts w:ascii="Times New Roman" w:hAnsi="Times New Roman" w:cs="Times New Roman"/>
        </w:rPr>
        <w:t xml:space="preserve"> </w:t>
      </w:r>
      <w:r w:rsidR="00BF2D2E" w:rsidRPr="00F5594B">
        <w:rPr>
          <w:rFonts w:ascii="Times New Roman" w:hAnsi="Times New Roman" w:cs="Times New Roman"/>
        </w:rPr>
        <w:t>и тепловыделением</w:t>
      </w:r>
      <w:r w:rsidRPr="00F5594B">
        <w:rPr>
          <w:rFonts w:ascii="Times New Roman" w:hAnsi="Times New Roman" w:cs="Times New Roman"/>
        </w:rPr>
        <w:t>. Может привести к самовозгоранию, самовоспламенению</w:t>
      </w:r>
      <w:r w:rsidR="00BF2D2E" w:rsidRPr="00F5594B">
        <w:rPr>
          <w:rFonts w:ascii="Times New Roman" w:hAnsi="Times New Roman" w:cs="Times New Roman"/>
        </w:rPr>
        <w:t xml:space="preserve"> ТКО и продуктов их биоразложения</w:t>
      </w:r>
      <w:r w:rsidRPr="00F5594B">
        <w:rPr>
          <w:rFonts w:ascii="Times New Roman" w:hAnsi="Times New Roman" w:cs="Times New Roman"/>
        </w:rPr>
        <w:t xml:space="preserve">. </w:t>
      </w:r>
      <w:r w:rsidR="00BF2D2E" w:rsidRPr="00F5594B">
        <w:rPr>
          <w:rFonts w:ascii="Times New Roman" w:hAnsi="Times New Roman" w:cs="Times New Roman"/>
        </w:rPr>
        <w:t>Происходит расширение концентрационных пределов распространения воспламенения. За счет увеличения разности между температурой вещества и окружающей среды растет физическая эксергия</w:t>
      </w:r>
      <w:r w:rsidR="00234A6A" w:rsidRPr="00F5594B">
        <w:rPr>
          <w:rFonts w:ascii="Times New Roman" w:hAnsi="Times New Roman" w:cs="Times New Roman"/>
        </w:rPr>
        <w:t>.</w:t>
      </w:r>
      <w:r w:rsidR="00F47162" w:rsidRPr="00F5594B">
        <w:rPr>
          <w:rFonts w:ascii="Times New Roman" w:hAnsi="Times New Roman" w:cs="Times New Roman"/>
        </w:rPr>
        <w:t xml:space="preserve"> (Рисунки</w:t>
      </w:r>
      <w:r w:rsidR="00A67382" w:rsidRPr="00F5594B">
        <w:rPr>
          <w:rFonts w:ascii="Times New Roman" w:hAnsi="Times New Roman" w:cs="Times New Roman"/>
        </w:rPr>
        <w:t>)</w:t>
      </w:r>
      <w:r w:rsidRPr="00F5594B">
        <w:rPr>
          <w:rFonts w:ascii="Times New Roman" w:hAnsi="Times New Roman" w:cs="Times New Roman"/>
        </w:rPr>
        <w:t>.</w:t>
      </w:r>
      <w:r w:rsidR="00BF2D2E" w:rsidRPr="00F5594B">
        <w:rPr>
          <w:rFonts w:ascii="Times New Roman" w:hAnsi="Times New Roman" w:cs="Times New Roman"/>
        </w:rPr>
        <w:t xml:space="preserve"> </w:t>
      </w:r>
    </w:p>
    <w:p w:rsidR="00A67382" w:rsidRPr="00F5594B" w:rsidRDefault="00A67382" w:rsidP="00F5594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066863" w:rsidRPr="00F5594B" w:rsidRDefault="00A67382" w:rsidP="00F5594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5594B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10263C9F" wp14:editId="25F04F0B">
            <wp:extent cx="5932336" cy="2152650"/>
            <wp:effectExtent l="0" t="0" r="0" b="0"/>
            <wp:docPr id="5" name="Рисунок 5" descr="F:\Programs\COMSOL 5.4\New\2d Cylinder model\Newwww\temperature\new2\Temp 0 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Programs\COMSOL 5.4\New\2d Cylinder model\Newwww\temperature\new2\Temp 0 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4A6A" w:rsidRPr="00F5594B">
        <w:rPr>
          <w:rFonts w:ascii="Times New Roman" w:hAnsi="Times New Roman" w:cs="Times New Roman"/>
        </w:rPr>
        <w:t>Рисунок – Изменение температуры в модели вагона</w:t>
      </w:r>
      <w:r w:rsidR="005B32EE" w:rsidRPr="00F5594B">
        <w:rPr>
          <w:rFonts w:ascii="Times New Roman" w:hAnsi="Times New Roman" w:cs="Times New Roman"/>
        </w:rPr>
        <w:t>, груженого</w:t>
      </w:r>
      <w:r w:rsidR="00234A6A" w:rsidRPr="00F5594B">
        <w:rPr>
          <w:rFonts w:ascii="Times New Roman" w:hAnsi="Times New Roman" w:cs="Times New Roman"/>
        </w:rPr>
        <w:t xml:space="preserve"> ТКО, исходное состояние</w:t>
      </w:r>
    </w:p>
    <w:p w:rsidR="00066863" w:rsidRPr="00F5594B" w:rsidRDefault="00066863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066863" w:rsidRPr="00F5594B" w:rsidRDefault="00234A6A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0F152414" wp14:editId="3915C6E4">
            <wp:extent cx="5934075" cy="3076575"/>
            <wp:effectExtent l="0" t="0" r="9525" b="9525"/>
            <wp:docPr id="6" name="Рисунок 6" descr="Temp 12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 12 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F49" w:rsidRPr="00F5594B" w:rsidRDefault="00234A6A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Рисунок – Изменение температуры в модели </w:t>
      </w:r>
      <w:r w:rsidR="005B32EE" w:rsidRPr="00F5594B">
        <w:rPr>
          <w:rFonts w:ascii="Times New Roman" w:hAnsi="Times New Roman" w:cs="Times New Roman"/>
        </w:rPr>
        <w:t xml:space="preserve">вагона, груженого ТКО </w:t>
      </w:r>
      <w:r w:rsidRPr="00F5594B">
        <w:rPr>
          <w:rFonts w:ascii="Times New Roman" w:hAnsi="Times New Roman" w:cs="Times New Roman"/>
        </w:rPr>
        <w:t>по истечении 12 часов</w:t>
      </w:r>
    </w:p>
    <w:p w:rsidR="00126F49" w:rsidRPr="00F5594B" w:rsidRDefault="00234A6A" w:rsidP="00F5594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37BF871" wp14:editId="15F6B1D6">
            <wp:extent cx="5940425" cy="3074932"/>
            <wp:effectExtent l="0" t="0" r="3175" b="0"/>
            <wp:docPr id="24" name="Рисунок 24" descr="F:\Programs\COMSOL 5.4\New\2d Cylinder model\Newwww\temperature\new2\Temp 24 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Programs\COMSOL 5.4\New\2d Cylinder model\Newwww\temperature\new2\Temp 24 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F49" w:rsidRPr="00F5594B" w:rsidRDefault="00234A6A" w:rsidP="00F5594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Рисунок – Изменение температуры в модели </w:t>
      </w:r>
      <w:r w:rsidR="005B32EE" w:rsidRPr="00F5594B">
        <w:rPr>
          <w:rFonts w:ascii="Times New Roman" w:hAnsi="Times New Roman" w:cs="Times New Roman"/>
        </w:rPr>
        <w:t xml:space="preserve">вагона, груженого ТКО </w:t>
      </w:r>
      <w:r w:rsidRPr="00F5594B">
        <w:rPr>
          <w:rFonts w:ascii="Times New Roman" w:hAnsi="Times New Roman" w:cs="Times New Roman"/>
        </w:rPr>
        <w:t>по истечении 24 часов</w:t>
      </w:r>
    </w:p>
    <w:p w:rsidR="00126F49" w:rsidRPr="00F5594B" w:rsidRDefault="00234A6A" w:rsidP="00F5594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4112DB8" wp14:editId="1213B08E">
            <wp:extent cx="5940425" cy="3074932"/>
            <wp:effectExtent l="0" t="0" r="3175" b="0"/>
            <wp:docPr id="25" name="Рисунок 25" descr="F:\Programs\COMSOL 5.4\New\2d Cylinder model\Newwww\temperature\new2\Temp 36 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Programs\COMSOL 5.4\New\2d Cylinder model\Newwww\temperature\new2\Temp 36 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F49" w:rsidRPr="00F5594B" w:rsidRDefault="00234A6A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Рисунок – Изменение температуры в модели </w:t>
      </w:r>
      <w:r w:rsidR="005B32EE" w:rsidRPr="00F5594B">
        <w:rPr>
          <w:rFonts w:ascii="Times New Roman" w:hAnsi="Times New Roman" w:cs="Times New Roman"/>
        </w:rPr>
        <w:t xml:space="preserve">вагона, груженого ТКО </w:t>
      </w:r>
      <w:r w:rsidRPr="00F5594B">
        <w:rPr>
          <w:rFonts w:ascii="Times New Roman" w:hAnsi="Times New Roman" w:cs="Times New Roman"/>
        </w:rPr>
        <w:t>по истечении 36 часов</w:t>
      </w:r>
    </w:p>
    <w:p w:rsidR="00234A6A" w:rsidRPr="00F5594B" w:rsidRDefault="00234A6A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066863" w:rsidRPr="00F5594B" w:rsidRDefault="00234A6A" w:rsidP="00F5594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86900B8" wp14:editId="0F4D511D">
            <wp:extent cx="5940425" cy="3074932"/>
            <wp:effectExtent l="0" t="0" r="3175" b="0"/>
            <wp:docPr id="26" name="Рисунок 26" descr="F:\Programs\COMSOL 5.4\New\2d Cylinder model\Newwww\temperature\new2\Temp 48 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:\Programs\COMSOL 5.4\New\2d Cylinder model\Newwww\temperature\new2\Temp 48 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301" w:rsidRPr="00F5594B" w:rsidRDefault="00234A6A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Рисунок – Изменение температуры в модели </w:t>
      </w:r>
      <w:r w:rsidR="00030FEE" w:rsidRPr="00F5594B">
        <w:rPr>
          <w:rFonts w:ascii="Times New Roman" w:hAnsi="Times New Roman" w:cs="Times New Roman"/>
        </w:rPr>
        <w:t xml:space="preserve">вагона, груженого ТКО </w:t>
      </w:r>
      <w:r w:rsidRPr="00F5594B">
        <w:rPr>
          <w:rFonts w:ascii="Times New Roman" w:hAnsi="Times New Roman" w:cs="Times New Roman"/>
        </w:rPr>
        <w:t>по истечении 48 часов</w:t>
      </w:r>
    </w:p>
    <w:p w:rsidR="00823A2F" w:rsidRPr="00F5594B" w:rsidRDefault="00823A2F" w:rsidP="00F5594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42D76D7" wp14:editId="7F34DD82">
            <wp:extent cx="4067175" cy="2914650"/>
            <wp:effectExtent l="0" t="0" r="9525" b="0"/>
            <wp:docPr id="13" name="Рисунок 13" descr="F:\Programs\COMSOL 5.4\New\2d Cylinder model\Newwww\pressure\new\temp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Programs\COMSOL 5.4\New\2d Cylinder model\Newwww\pressure\new\temp grap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319" cy="291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301" w:rsidRPr="00F5594B" w:rsidRDefault="00823A2F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Рисунок – График изменения средней температуры </w:t>
      </w:r>
      <w:r w:rsidR="00030FEE" w:rsidRPr="00F5594B">
        <w:rPr>
          <w:rFonts w:ascii="Times New Roman" w:hAnsi="Times New Roman" w:cs="Times New Roman"/>
        </w:rPr>
        <w:t xml:space="preserve">вагона, груженого ТКО </w:t>
      </w:r>
      <w:r w:rsidRPr="00F5594B">
        <w:rPr>
          <w:rFonts w:ascii="Times New Roman" w:hAnsi="Times New Roman" w:cs="Times New Roman"/>
        </w:rPr>
        <w:t>во времени</w:t>
      </w:r>
    </w:p>
    <w:p w:rsidR="00481FF6" w:rsidRPr="00F5594B" w:rsidRDefault="00481FF6" w:rsidP="00F5594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23A2F" w:rsidRPr="00F5594B" w:rsidRDefault="00BF13EB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Повышение</w:t>
      </w:r>
      <w:r w:rsidR="0057184A" w:rsidRPr="00F5594B">
        <w:rPr>
          <w:rFonts w:ascii="Times New Roman" w:hAnsi="Times New Roman" w:cs="Times New Roman"/>
        </w:rPr>
        <w:t xml:space="preserve"> давления</w:t>
      </w:r>
      <w:r w:rsidR="0057184A" w:rsidRPr="00F5594B">
        <w:rPr>
          <w:rFonts w:ascii="Times New Roman" w:hAnsi="Times New Roman" w:cs="Times New Roman"/>
          <w:b/>
        </w:rPr>
        <w:t xml:space="preserve"> </w:t>
      </w:r>
      <w:r w:rsidR="0057184A" w:rsidRPr="00F5594B">
        <w:rPr>
          <w:rFonts w:ascii="Times New Roman" w:hAnsi="Times New Roman" w:cs="Times New Roman"/>
        </w:rPr>
        <w:t xml:space="preserve">не изменяет соотношение между горючим и окислителем, но увеличивает концентрацию реагирующих веществ в единице объема, что </w:t>
      </w:r>
      <w:r w:rsidR="00DE713C" w:rsidRPr="00F5594B">
        <w:rPr>
          <w:rFonts w:ascii="Times New Roman" w:hAnsi="Times New Roman" w:cs="Times New Roman"/>
        </w:rPr>
        <w:t>ведет к росту скорости</w:t>
      </w:r>
      <w:r w:rsidR="0057184A" w:rsidRPr="00F5594B">
        <w:rPr>
          <w:rFonts w:ascii="Times New Roman" w:hAnsi="Times New Roman" w:cs="Times New Roman"/>
        </w:rPr>
        <w:t xml:space="preserve"> </w:t>
      </w:r>
      <w:r w:rsidRPr="00F5594B">
        <w:rPr>
          <w:rFonts w:ascii="Times New Roman" w:hAnsi="Times New Roman" w:cs="Times New Roman"/>
        </w:rPr>
        <w:t>реакций</w:t>
      </w:r>
      <w:r w:rsidR="00726625" w:rsidRPr="00F5594B">
        <w:rPr>
          <w:rFonts w:ascii="Times New Roman" w:hAnsi="Times New Roman" w:cs="Times New Roman"/>
        </w:rPr>
        <w:t xml:space="preserve"> горения </w:t>
      </w:r>
      <w:r w:rsidR="007B33F7" w:rsidRPr="00F5594B">
        <w:rPr>
          <w:rFonts w:ascii="Times New Roman" w:hAnsi="Times New Roman" w:cs="Times New Roman"/>
        </w:rPr>
        <w:t xml:space="preserve">для </w:t>
      </w:r>
      <w:r w:rsidR="00726625" w:rsidRPr="00F5594B">
        <w:rPr>
          <w:rFonts w:ascii="Times New Roman" w:hAnsi="Times New Roman" w:cs="Times New Roman"/>
        </w:rPr>
        <w:t>большинства веществ</w:t>
      </w:r>
      <w:r w:rsidR="0057184A" w:rsidRPr="00F5594B">
        <w:rPr>
          <w:rFonts w:ascii="Times New Roman" w:hAnsi="Times New Roman" w:cs="Times New Roman"/>
        </w:rPr>
        <w:t xml:space="preserve">. </w:t>
      </w:r>
      <w:r w:rsidR="00570187" w:rsidRPr="00F5594B">
        <w:rPr>
          <w:rFonts w:ascii="Times New Roman" w:hAnsi="Times New Roman" w:cs="Times New Roman"/>
        </w:rPr>
        <w:t xml:space="preserve">Возможен взрыв. </w:t>
      </w:r>
      <w:r w:rsidRPr="00F5594B">
        <w:rPr>
          <w:rFonts w:ascii="Times New Roman" w:hAnsi="Times New Roman" w:cs="Times New Roman"/>
        </w:rPr>
        <w:t>Растет физическая эксергия за счет увеличения разности давления смеси и окружающей среды</w:t>
      </w:r>
      <w:r w:rsidR="00876414" w:rsidRPr="00F5594B">
        <w:rPr>
          <w:rFonts w:ascii="Times New Roman" w:hAnsi="Times New Roman" w:cs="Times New Roman"/>
        </w:rPr>
        <w:t>.</w:t>
      </w:r>
      <w:r w:rsidR="00570187" w:rsidRPr="00F5594B">
        <w:rPr>
          <w:rFonts w:ascii="Times New Roman" w:hAnsi="Times New Roman" w:cs="Times New Roman"/>
        </w:rPr>
        <w:t xml:space="preserve"> </w:t>
      </w:r>
    </w:p>
    <w:p w:rsidR="00A224C6" w:rsidRPr="00F5594B" w:rsidRDefault="00D21940" w:rsidP="00F5594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</w:rPr>
      </w:pPr>
      <w:r w:rsidRPr="00F5594B">
        <w:rPr>
          <w:rFonts w:ascii="Times New Roman" w:hAnsi="Times New Roman" w:cs="Times New Roman"/>
          <w:b/>
          <w:i/>
        </w:rPr>
        <w:t>Изменение концентрации биомассы, а</w:t>
      </w:r>
      <w:r w:rsidR="00A224C6" w:rsidRPr="00F5594B">
        <w:rPr>
          <w:rFonts w:ascii="Times New Roman" w:hAnsi="Times New Roman" w:cs="Times New Roman"/>
          <w:b/>
          <w:i/>
        </w:rPr>
        <w:t xml:space="preserve">нализ содержания (концентрации) взрывопожароопасных веществ, своевременное выявление превышения критических уровней </w:t>
      </w:r>
    </w:p>
    <w:p w:rsidR="0097355C" w:rsidRPr="00F5594B" w:rsidRDefault="0097355C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F5594B">
        <w:rPr>
          <w:rFonts w:ascii="Times New Roman" w:hAnsi="Times New Roman" w:cs="Times New Roman"/>
          <w:color w:val="000000" w:themeColor="text1"/>
        </w:rPr>
        <w:t>Моделирование кинетики биопроцессов, происходящих при аэробном и анаэробном разложении твердых бытовых</w:t>
      </w:r>
      <w:r w:rsidR="00FE79D9">
        <w:rPr>
          <w:rFonts w:ascii="Times New Roman" w:hAnsi="Times New Roman" w:cs="Times New Roman"/>
          <w:color w:val="000000" w:themeColor="text1"/>
        </w:rPr>
        <w:t xml:space="preserve"> отходов при их транспортировке</w:t>
      </w:r>
      <w:r w:rsidR="004520B0" w:rsidRPr="00F5594B">
        <w:rPr>
          <w:rFonts w:ascii="Times New Roman" w:hAnsi="Times New Roman" w:cs="Times New Roman"/>
          <w:color w:val="000000" w:themeColor="text1"/>
        </w:rPr>
        <w:t xml:space="preserve">, позволяет </w:t>
      </w:r>
      <w:r w:rsidRPr="00F5594B">
        <w:rPr>
          <w:rFonts w:ascii="Times New Roman" w:hAnsi="Times New Roman" w:cs="Times New Roman"/>
          <w:color w:val="000000" w:themeColor="text1"/>
        </w:rPr>
        <w:t>прогнозировать скорость образования пожаровзрывоопасных газов</w:t>
      </w:r>
      <w:r w:rsidR="004520B0" w:rsidRPr="00F5594B">
        <w:rPr>
          <w:rFonts w:ascii="Times New Roman" w:hAnsi="Times New Roman" w:cs="Times New Roman"/>
          <w:color w:val="000000" w:themeColor="text1"/>
        </w:rPr>
        <w:t xml:space="preserve"> во</w:t>
      </w:r>
      <w:r w:rsidRPr="00F5594B">
        <w:rPr>
          <w:rFonts w:ascii="Times New Roman" w:hAnsi="Times New Roman" w:cs="Times New Roman"/>
          <w:color w:val="000000" w:themeColor="text1"/>
        </w:rPr>
        <w:t xml:space="preserve"> времени, оценить влияние различных параметров на</w:t>
      </w:r>
      <w:r w:rsidR="004520B0" w:rsidRPr="00F5594B">
        <w:rPr>
          <w:rFonts w:ascii="Times New Roman" w:hAnsi="Times New Roman" w:cs="Times New Roman"/>
          <w:color w:val="000000" w:themeColor="text1"/>
        </w:rPr>
        <w:t xml:space="preserve"> протекающие процессы</w:t>
      </w:r>
      <w:r w:rsidRPr="00F5594B">
        <w:rPr>
          <w:rFonts w:ascii="Times New Roman" w:hAnsi="Times New Roman" w:cs="Times New Roman"/>
          <w:color w:val="000000" w:themeColor="text1"/>
        </w:rPr>
        <w:t xml:space="preserve">, пожарную </w:t>
      </w:r>
      <w:r w:rsidR="004520B0" w:rsidRPr="00F5594B">
        <w:rPr>
          <w:rFonts w:ascii="Times New Roman" w:hAnsi="Times New Roman" w:cs="Times New Roman"/>
          <w:color w:val="000000" w:themeColor="text1"/>
        </w:rPr>
        <w:t xml:space="preserve">опасность ТКО </w:t>
      </w:r>
      <w:r w:rsidRPr="00F5594B">
        <w:rPr>
          <w:rFonts w:ascii="Times New Roman" w:hAnsi="Times New Roman" w:cs="Times New Roman"/>
          <w:color w:val="000000" w:themeColor="text1"/>
        </w:rPr>
        <w:t>и своевременно предложить меры, направленные на снижение</w:t>
      </w:r>
      <w:r w:rsidR="004520B0" w:rsidRPr="00F5594B">
        <w:rPr>
          <w:rFonts w:ascii="Times New Roman" w:hAnsi="Times New Roman" w:cs="Times New Roman"/>
          <w:color w:val="000000" w:themeColor="text1"/>
        </w:rPr>
        <w:t xml:space="preserve"> пожарного риска</w:t>
      </w:r>
      <w:r w:rsidRPr="00F5594B">
        <w:rPr>
          <w:rFonts w:ascii="Times New Roman" w:hAnsi="Times New Roman" w:cs="Times New Roman"/>
          <w:color w:val="000000" w:themeColor="text1"/>
        </w:rPr>
        <w:t>.</w:t>
      </w:r>
    </w:p>
    <w:p w:rsidR="00ED6863" w:rsidRPr="00FE79D9" w:rsidRDefault="0097355C" w:rsidP="00FE79D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5594B">
        <w:rPr>
          <w:rFonts w:ascii="Times New Roman" w:hAnsi="Times New Roman" w:cs="Times New Roman"/>
          <w:color w:val="000000" w:themeColor="text1"/>
        </w:rPr>
        <w:t>Изменение концентрации анаэробной и аэробной биомассы, метана, угарного, кислорода определяет изменение горючести ТКО во времени и является исходными данными для расчета химической эксергии.</w:t>
      </w:r>
    </w:p>
    <w:p w:rsidR="00FE62FE" w:rsidRPr="00F5594B" w:rsidRDefault="00ED6863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>Для осуществления комплексного монит</w:t>
      </w:r>
      <w:r w:rsidR="00A82E8C" w:rsidRPr="00F5594B">
        <w:rPr>
          <w:rFonts w:ascii="Times New Roman" w:hAnsi="Times New Roman" w:cs="Times New Roman"/>
        </w:rPr>
        <w:t>оринга и управления отходами на железнодорожном транспорте</w:t>
      </w:r>
      <w:r w:rsidRPr="00F5594B">
        <w:rPr>
          <w:rFonts w:ascii="Times New Roman" w:hAnsi="Times New Roman" w:cs="Times New Roman"/>
        </w:rPr>
        <w:t xml:space="preserve"> </w:t>
      </w:r>
      <w:r w:rsidR="00A82E8C" w:rsidRPr="00F5594B">
        <w:rPr>
          <w:rFonts w:ascii="Times New Roman" w:hAnsi="Times New Roman" w:cs="Times New Roman"/>
        </w:rPr>
        <w:t xml:space="preserve">необходим набор </w:t>
      </w:r>
      <w:r w:rsidR="00195447" w:rsidRPr="00F5594B">
        <w:rPr>
          <w:rFonts w:ascii="Times New Roman" w:hAnsi="Times New Roman" w:cs="Times New Roman"/>
        </w:rPr>
        <w:t>элементов</w:t>
      </w:r>
      <w:r w:rsidR="00FE62FE" w:rsidRPr="00F5594B">
        <w:rPr>
          <w:rFonts w:ascii="Times New Roman" w:hAnsi="Times New Roman" w:cs="Times New Roman"/>
        </w:rPr>
        <w:t xml:space="preserve">: датчики, </w:t>
      </w:r>
      <w:r w:rsidR="008E1BE0" w:rsidRPr="00F5594B">
        <w:rPr>
          <w:rFonts w:ascii="Times New Roman" w:hAnsi="Times New Roman" w:cs="Times New Roman"/>
        </w:rPr>
        <w:t>контролирующие уровен</w:t>
      </w:r>
      <w:r w:rsidR="00A82E8C" w:rsidRPr="00F5594B">
        <w:rPr>
          <w:rFonts w:ascii="Times New Roman" w:hAnsi="Times New Roman" w:cs="Times New Roman"/>
        </w:rPr>
        <w:t xml:space="preserve">ь </w:t>
      </w:r>
      <w:r w:rsidR="00A82E8C" w:rsidRPr="00F5594B">
        <w:rPr>
          <w:rFonts w:ascii="Times New Roman" w:hAnsi="Times New Roman" w:cs="Times New Roman"/>
        </w:rPr>
        <w:lastRenderedPageBreak/>
        <w:t>заполнения, температуру</w:t>
      </w:r>
      <w:r w:rsidR="008E1BE0" w:rsidRPr="00F5594B">
        <w:rPr>
          <w:rFonts w:ascii="Times New Roman" w:hAnsi="Times New Roman" w:cs="Times New Roman"/>
        </w:rPr>
        <w:t>,</w:t>
      </w:r>
      <w:r w:rsidR="00FE62FE" w:rsidRPr="00F5594B">
        <w:rPr>
          <w:rFonts w:ascii="Times New Roman" w:hAnsi="Times New Roman" w:cs="Times New Roman"/>
        </w:rPr>
        <w:t xml:space="preserve"> узел связи для передачи данных и набор программного обеспечения для </w:t>
      </w:r>
      <w:r w:rsidR="008E1BE0" w:rsidRPr="00F5594B">
        <w:rPr>
          <w:rFonts w:ascii="Times New Roman" w:hAnsi="Times New Roman" w:cs="Times New Roman"/>
        </w:rPr>
        <w:t>анализа полученных</w:t>
      </w:r>
      <w:r w:rsidR="00FE62FE" w:rsidRPr="00F5594B">
        <w:rPr>
          <w:rFonts w:ascii="Times New Roman" w:hAnsi="Times New Roman" w:cs="Times New Roman"/>
        </w:rPr>
        <w:t xml:space="preserve"> данных</w:t>
      </w:r>
      <w:r w:rsidR="008E1BE0" w:rsidRPr="00F5594B">
        <w:rPr>
          <w:rFonts w:ascii="Times New Roman" w:hAnsi="Times New Roman" w:cs="Times New Roman"/>
        </w:rPr>
        <w:t xml:space="preserve"> </w:t>
      </w:r>
      <w:r w:rsidR="00C853FF" w:rsidRPr="00F5594B">
        <w:rPr>
          <w:rFonts w:ascii="Times New Roman" w:hAnsi="Times New Roman" w:cs="Times New Roman"/>
        </w:rPr>
        <w:t>и</w:t>
      </w:r>
      <w:r w:rsidR="008E1BE0" w:rsidRPr="00F5594B">
        <w:rPr>
          <w:rFonts w:ascii="Times New Roman" w:hAnsi="Times New Roman" w:cs="Times New Roman"/>
        </w:rPr>
        <w:t xml:space="preserve"> управления отходами</w:t>
      </w:r>
      <w:r w:rsidR="00A82E8C" w:rsidRPr="00F5594B">
        <w:rPr>
          <w:rFonts w:ascii="Times New Roman" w:hAnsi="Times New Roman" w:cs="Times New Roman"/>
        </w:rPr>
        <w:t xml:space="preserve"> и т.д</w:t>
      </w:r>
      <w:r w:rsidR="00FE62FE" w:rsidRPr="00F5594B">
        <w:rPr>
          <w:rFonts w:ascii="Times New Roman" w:hAnsi="Times New Roman" w:cs="Times New Roman"/>
        </w:rPr>
        <w:t>.</w:t>
      </w:r>
    </w:p>
    <w:p w:rsidR="00FE62FE" w:rsidRPr="00F5594B" w:rsidRDefault="00CB4014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FF0000"/>
        </w:rPr>
      </w:pPr>
      <w:r w:rsidRPr="00F5594B">
        <w:rPr>
          <w:rFonts w:ascii="Times New Roman" w:hAnsi="Times New Roman" w:cs="Times New Roman"/>
        </w:rPr>
        <w:t xml:space="preserve">Имеющаяся </w:t>
      </w:r>
      <w:r w:rsidR="00FE62FE" w:rsidRPr="00F5594B">
        <w:rPr>
          <w:rFonts w:ascii="Times New Roman" w:hAnsi="Times New Roman" w:cs="Times New Roman"/>
        </w:rPr>
        <w:t>облачная платформа позволяет ежедневно о</w:t>
      </w:r>
      <w:r w:rsidR="00D729FF" w:rsidRPr="00F5594B">
        <w:rPr>
          <w:rFonts w:ascii="Times New Roman" w:hAnsi="Times New Roman" w:cs="Times New Roman"/>
        </w:rPr>
        <w:t xml:space="preserve">тслеживать </w:t>
      </w:r>
      <w:r w:rsidR="00DF7EDA" w:rsidRPr="00F5594B">
        <w:rPr>
          <w:rFonts w:ascii="Times New Roman" w:hAnsi="Times New Roman" w:cs="Times New Roman"/>
        </w:rPr>
        <w:t xml:space="preserve">информацию </w:t>
      </w:r>
      <w:r w:rsidR="00D729FF" w:rsidRPr="00F5594B">
        <w:rPr>
          <w:rFonts w:ascii="Times New Roman" w:hAnsi="Times New Roman" w:cs="Times New Roman"/>
        </w:rPr>
        <w:t xml:space="preserve">и управлять отходами </w:t>
      </w:r>
      <w:r w:rsidR="00FE62FE" w:rsidRPr="00F5594B">
        <w:rPr>
          <w:rFonts w:ascii="Times New Roman" w:hAnsi="Times New Roman" w:cs="Times New Roman"/>
        </w:rPr>
        <w:t>в режиме реального времени</w:t>
      </w:r>
      <w:r w:rsidR="003C3786" w:rsidRPr="00F5594B">
        <w:rPr>
          <w:rFonts w:ascii="Times New Roman" w:hAnsi="Times New Roman" w:cs="Times New Roman"/>
        </w:rPr>
        <w:t>,</w:t>
      </w:r>
      <w:r w:rsidR="00FE62FE" w:rsidRPr="00F5594B">
        <w:rPr>
          <w:rFonts w:ascii="Times New Roman" w:hAnsi="Times New Roman" w:cs="Times New Roman"/>
        </w:rPr>
        <w:t xml:space="preserve"> </w:t>
      </w:r>
      <w:r w:rsidR="008D5443" w:rsidRPr="00F5594B">
        <w:rPr>
          <w:rFonts w:ascii="Times New Roman" w:hAnsi="Times New Roman" w:cs="Times New Roman"/>
        </w:rPr>
        <w:t xml:space="preserve">оптимизировать </w:t>
      </w:r>
      <w:r w:rsidR="002A273C" w:rsidRPr="00F5594B">
        <w:rPr>
          <w:rFonts w:ascii="Times New Roman" w:hAnsi="Times New Roman" w:cs="Times New Roman"/>
        </w:rPr>
        <w:t xml:space="preserve">перемещение, </w:t>
      </w:r>
      <w:r w:rsidR="008D5443" w:rsidRPr="00F5594B">
        <w:rPr>
          <w:rFonts w:ascii="Times New Roman" w:hAnsi="Times New Roman" w:cs="Times New Roman"/>
        </w:rPr>
        <w:t>хранение ТКО</w:t>
      </w:r>
      <w:r w:rsidR="002A273C" w:rsidRPr="00F5594B">
        <w:rPr>
          <w:rFonts w:ascii="Times New Roman" w:hAnsi="Times New Roman" w:cs="Times New Roman"/>
        </w:rPr>
        <w:t>, их утилизацию и захоронение</w:t>
      </w:r>
      <w:r w:rsidR="00A82E8C" w:rsidRPr="00F5594B">
        <w:rPr>
          <w:rFonts w:ascii="Times New Roman" w:hAnsi="Times New Roman" w:cs="Times New Roman"/>
        </w:rPr>
        <w:t>, проводить оценку пожарной безопасности, разра</w:t>
      </w:r>
      <w:r w:rsidR="00DF7EDA" w:rsidRPr="00F5594B">
        <w:rPr>
          <w:rFonts w:ascii="Times New Roman" w:hAnsi="Times New Roman" w:cs="Times New Roman"/>
        </w:rPr>
        <w:t>батывать и внедрять мероприятия</w:t>
      </w:r>
      <w:r w:rsidR="00A82E8C" w:rsidRPr="00F5594B">
        <w:rPr>
          <w:rFonts w:ascii="Times New Roman" w:hAnsi="Times New Roman" w:cs="Times New Roman"/>
        </w:rPr>
        <w:t>, направленные на снижение пожарного риска.</w:t>
      </w:r>
      <w:r w:rsidR="00D729FF" w:rsidRPr="00F5594B">
        <w:rPr>
          <w:rFonts w:ascii="Times New Roman" w:hAnsi="Times New Roman" w:cs="Times New Roman"/>
        </w:rPr>
        <w:t xml:space="preserve"> Эксплуатация </w:t>
      </w:r>
      <w:r w:rsidR="008D5443" w:rsidRPr="00F5594B">
        <w:rPr>
          <w:rFonts w:ascii="Times New Roman" w:hAnsi="Times New Roman" w:cs="Times New Roman"/>
        </w:rPr>
        <w:t xml:space="preserve">железнодорожного </w:t>
      </w:r>
      <w:r w:rsidR="00D729FF" w:rsidRPr="00F5594B">
        <w:rPr>
          <w:rFonts w:ascii="Times New Roman" w:hAnsi="Times New Roman" w:cs="Times New Roman"/>
        </w:rPr>
        <w:t>транспорта, оснащенного системой ГЛОНАСС</w:t>
      </w:r>
      <w:r w:rsidR="008D5443" w:rsidRPr="00F5594B">
        <w:rPr>
          <w:rFonts w:ascii="Times New Roman" w:hAnsi="Times New Roman" w:cs="Times New Roman"/>
        </w:rPr>
        <w:t>,</w:t>
      </w:r>
      <w:r w:rsidR="00D729FF" w:rsidRPr="00F5594B">
        <w:rPr>
          <w:rFonts w:ascii="Times New Roman" w:hAnsi="Times New Roman" w:cs="Times New Roman"/>
        </w:rPr>
        <w:t xml:space="preserve"> позволяет отслеживать </w:t>
      </w:r>
      <w:r w:rsidR="008D5443" w:rsidRPr="00F5594B">
        <w:rPr>
          <w:rFonts w:ascii="Times New Roman" w:hAnsi="Times New Roman" w:cs="Times New Roman"/>
        </w:rPr>
        <w:t>маршрут и график перевозок.</w:t>
      </w:r>
      <w:r w:rsidR="005B32EE" w:rsidRPr="00F5594B">
        <w:rPr>
          <w:rFonts w:ascii="Times New Roman" w:hAnsi="Times New Roman" w:cs="Times New Roman"/>
        </w:rPr>
        <w:t xml:space="preserve"> </w:t>
      </w:r>
      <w:r w:rsidR="005B32EE" w:rsidRPr="00F5594B">
        <w:rPr>
          <w:rFonts w:ascii="Times New Roman" w:hAnsi="Times New Roman" w:cs="Times New Roman"/>
          <w:b/>
          <w:color w:val="FF0000"/>
        </w:rPr>
        <w:t xml:space="preserve">Примеры визуализации данных представлены на Рисунках. </w:t>
      </w:r>
    </w:p>
    <w:p w:rsidR="005B32EE" w:rsidRPr="00F5594B" w:rsidRDefault="005B32EE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FF0000"/>
        </w:rPr>
      </w:pPr>
    </w:p>
    <w:p w:rsidR="005B32EE" w:rsidRPr="005E6D3F" w:rsidRDefault="005E6D3F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5E6D3F">
        <w:rPr>
          <w:rFonts w:ascii="Times New Roman" w:hAnsi="Times New Roman" w:cs="Times New Roman"/>
          <w:b/>
        </w:rPr>
        <w:t>Выводы</w:t>
      </w:r>
    </w:p>
    <w:p w:rsidR="005B32EE" w:rsidRPr="00F5594B" w:rsidRDefault="00BF7B29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Использование информационной системы </w:t>
      </w:r>
      <w:r w:rsidR="00AE6EFF" w:rsidRPr="00F5594B">
        <w:rPr>
          <w:rFonts w:ascii="Times New Roman" w:hAnsi="Times New Roman" w:cs="Times New Roman"/>
        </w:rPr>
        <w:t>позволяет получить данные, отражающие</w:t>
      </w:r>
      <w:r w:rsidRPr="00F5594B">
        <w:rPr>
          <w:rFonts w:ascii="Times New Roman" w:hAnsi="Times New Roman" w:cs="Times New Roman"/>
        </w:rPr>
        <w:t xml:space="preserve"> </w:t>
      </w:r>
      <w:r w:rsidR="00AE6EFF" w:rsidRPr="00F5594B">
        <w:rPr>
          <w:rFonts w:ascii="Times New Roman" w:hAnsi="Times New Roman" w:cs="Times New Roman"/>
        </w:rPr>
        <w:t>количеств</w:t>
      </w:r>
      <w:r w:rsidR="00A82E8C" w:rsidRPr="00F5594B">
        <w:rPr>
          <w:rFonts w:ascii="Times New Roman" w:hAnsi="Times New Roman" w:cs="Times New Roman"/>
        </w:rPr>
        <w:t>о</w:t>
      </w:r>
      <w:r w:rsidR="008906CF" w:rsidRPr="00F5594B">
        <w:rPr>
          <w:rFonts w:ascii="Times New Roman" w:hAnsi="Times New Roman" w:cs="Times New Roman"/>
        </w:rPr>
        <w:t xml:space="preserve">, </w:t>
      </w:r>
      <w:r w:rsidR="005E6D3F">
        <w:rPr>
          <w:rFonts w:ascii="Times New Roman" w:hAnsi="Times New Roman" w:cs="Times New Roman"/>
        </w:rPr>
        <w:t>морфологию</w:t>
      </w:r>
      <w:r w:rsidR="008906CF" w:rsidRPr="00F5594B">
        <w:rPr>
          <w:rFonts w:ascii="Times New Roman" w:hAnsi="Times New Roman" w:cs="Times New Roman"/>
        </w:rPr>
        <w:t xml:space="preserve">, свойства </w:t>
      </w:r>
      <w:r w:rsidRPr="00F5594B">
        <w:rPr>
          <w:rFonts w:ascii="Times New Roman" w:hAnsi="Times New Roman" w:cs="Times New Roman"/>
        </w:rPr>
        <w:t>ТКО</w:t>
      </w:r>
      <w:r w:rsidR="008906CF" w:rsidRPr="00F5594B">
        <w:rPr>
          <w:rFonts w:ascii="Times New Roman" w:hAnsi="Times New Roman" w:cs="Times New Roman"/>
        </w:rPr>
        <w:t xml:space="preserve"> и их изменение в процессе перевозки</w:t>
      </w:r>
      <w:r w:rsidRPr="00F5594B">
        <w:rPr>
          <w:rFonts w:ascii="Times New Roman" w:hAnsi="Times New Roman" w:cs="Times New Roman"/>
        </w:rPr>
        <w:t xml:space="preserve">. </w:t>
      </w:r>
      <w:r w:rsidR="008906CF" w:rsidRPr="00F5594B">
        <w:rPr>
          <w:rFonts w:ascii="Times New Roman" w:hAnsi="Times New Roman" w:cs="Times New Roman"/>
        </w:rPr>
        <w:t>Информация может</w:t>
      </w:r>
      <w:r w:rsidRPr="00F5594B">
        <w:rPr>
          <w:rFonts w:ascii="Times New Roman" w:hAnsi="Times New Roman" w:cs="Times New Roman"/>
        </w:rPr>
        <w:t xml:space="preserve"> быть </w:t>
      </w:r>
      <w:r w:rsidR="008906CF" w:rsidRPr="00F5594B">
        <w:rPr>
          <w:rFonts w:ascii="Times New Roman" w:hAnsi="Times New Roman" w:cs="Times New Roman"/>
        </w:rPr>
        <w:t xml:space="preserve">использована </w:t>
      </w:r>
      <w:r w:rsidR="005E6D3F">
        <w:rPr>
          <w:rFonts w:ascii="Times New Roman" w:hAnsi="Times New Roman" w:cs="Times New Roman"/>
        </w:rPr>
        <w:t>для выбора стратегий</w:t>
      </w:r>
      <w:r w:rsidRPr="00F5594B">
        <w:rPr>
          <w:rFonts w:ascii="Times New Roman" w:hAnsi="Times New Roman" w:cs="Times New Roman"/>
        </w:rPr>
        <w:t xml:space="preserve"> обращения с отходами, расчета эффективности и оценки бе</w:t>
      </w:r>
      <w:r w:rsidR="005E6D3F">
        <w:rPr>
          <w:rFonts w:ascii="Times New Roman" w:hAnsi="Times New Roman" w:cs="Times New Roman"/>
        </w:rPr>
        <w:t>зопасности предлагаемых решений,</w:t>
      </w:r>
      <w:r w:rsidR="005E6D3F" w:rsidRPr="005E6D3F">
        <w:t xml:space="preserve"> </w:t>
      </w:r>
      <w:r w:rsidR="005E6D3F" w:rsidRPr="005E6D3F">
        <w:rPr>
          <w:rFonts w:ascii="Times New Roman" w:hAnsi="Times New Roman" w:cs="Times New Roman"/>
        </w:rPr>
        <w:t>оценки инвестиционной привлекательности переработ</w:t>
      </w:r>
      <w:r w:rsidR="005E6D3F">
        <w:rPr>
          <w:rFonts w:ascii="Times New Roman" w:hAnsi="Times New Roman" w:cs="Times New Roman"/>
        </w:rPr>
        <w:t>ки отходов в конкретном регионе.</w:t>
      </w:r>
    </w:p>
    <w:p w:rsidR="001F674C" w:rsidRPr="00F5594B" w:rsidRDefault="00A82E8C" w:rsidP="005E6D3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Применение эксергетического подхода </w:t>
      </w:r>
      <w:r w:rsidR="00AE6EFF" w:rsidRPr="00F5594B">
        <w:rPr>
          <w:rFonts w:ascii="Times New Roman" w:hAnsi="Times New Roman" w:cs="Times New Roman"/>
        </w:rPr>
        <w:t>позволяет проводить комплексн</w:t>
      </w:r>
      <w:r w:rsidR="00833171" w:rsidRPr="00F5594B">
        <w:rPr>
          <w:rFonts w:ascii="Times New Roman" w:hAnsi="Times New Roman" w:cs="Times New Roman"/>
        </w:rPr>
        <w:t xml:space="preserve">ую энергоэкологическую оценку и прогнозирование </w:t>
      </w:r>
      <w:r w:rsidR="00AE6EFF" w:rsidRPr="00F5594B">
        <w:rPr>
          <w:rFonts w:ascii="Times New Roman" w:hAnsi="Times New Roman" w:cs="Times New Roman"/>
        </w:rPr>
        <w:t>пожарной опасности</w:t>
      </w:r>
      <w:r w:rsidR="00833171" w:rsidRPr="00F5594B">
        <w:rPr>
          <w:rFonts w:ascii="Times New Roman" w:hAnsi="Times New Roman" w:cs="Times New Roman"/>
        </w:rPr>
        <w:t xml:space="preserve"> ТКО</w:t>
      </w:r>
      <w:r w:rsidR="005E6D3F">
        <w:rPr>
          <w:rFonts w:ascii="Times New Roman" w:hAnsi="Times New Roman" w:cs="Times New Roman"/>
        </w:rPr>
        <w:t xml:space="preserve">. </w:t>
      </w:r>
      <w:r w:rsidR="001F674C" w:rsidRPr="00F5594B">
        <w:rPr>
          <w:rFonts w:ascii="Times New Roman" w:hAnsi="Times New Roman" w:cs="Times New Roman"/>
        </w:rPr>
        <w:t>Учет показателей п</w:t>
      </w:r>
      <w:r w:rsidRPr="00F5594B">
        <w:rPr>
          <w:rFonts w:ascii="Times New Roman" w:hAnsi="Times New Roman" w:cs="Times New Roman"/>
        </w:rPr>
        <w:t>ожарной</w:t>
      </w:r>
      <w:r w:rsidR="005A6882" w:rsidRPr="00F5594B">
        <w:rPr>
          <w:rFonts w:ascii="Times New Roman" w:hAnsi="Times New Roman" w:cs="Times New Roman"/>
        </w:rPr>
        <w:t xml:space="preserve"> опасности </w:t>
      </w:r>
      <w:r w:rsidR="005E6D3F">
        <w:rPr>
          <w:rFonts w:ascii="Times New Roman" w:hAnsi="Times New Roman" w:cs="Times New Roman"/>
        </w:rPr>
        <w:t xml:space="preserve">ТКО как грузов железнодорожного транспорта </w:t>
      </w:r>
      <w:r w:rsidR="005A6882" w:rsidRPr="00F5594B">
        <w:rPr>
          <w:rFonts w:ascii="Times New Roman" w:hAnsi="Times New Roman" w:cs="Times New Roman"/>
        </w:rPr>
        <w:t>через эксергию</w:t>
      </w:r>
      <w:r w:rsidRPr="00F5594B">
        <w:rPr>
          <w:rFonts w:ascii="Times New Roman" w:hAnsi="Times New Roman" w:cs="Times New Roman"/>
        </w:rPr>
        <w:t xml:space="preserve"> </w:t>
      </w:r>
      <w:r w:rsidR="001F674C" w:rsidRPr="00F5594B">
        <w:rPr>
          <w:rFonts w:ascii="Times New Roman" w:hAnsi="Times New Roman" w:cs="Times New Roman"/>
        </w:rPr>
        <w:t xml:space="preserve">добавит процедуре </w:t>
      </w:r>
      <w:r w:rsidR="005E6D3F">
        <w:rPr>
          <w:rFonts w:ascii="Times New Roman" w:hAnsi="Times New Roman" w:cs="Times New Roman"/>
        </w:rPr>
        <w:t xml:space="preserve">назначения класса опасности </w:t>
      </w:r>
      <w:r w:rsidR="001F674C" w:rsidRPr="00F5594B">
        <w:rPr>
          <w:rFonts w:ascii="Times New Roman" w:hAnsi="Times New Roman" w:cs="Times New Roman"/>
        </w:rPr>
        <w:t>объективности</w:t>
      </w:r>
      <w:r w:rsidR="00E430D8" w:rsidRPr="00F5594B">
        <w:rPr>
          <w:rFonts w:ascii="Times New Roman" w:hAnsi="Times New Roman" w:cs="Times New Roman"/>
        </w:rPr>
        <w:t>,</w:t>
      </w:r>
      <w:r w:rsidRPr="00F5594B">
        <w:rPr>
          <w:rFonts w:ascii="Times New Roman" w:hAnsi="Times New Roman" w:cs="Times New Roman"/>
        </w:rPr>
        <w:t xml:space="preserve"> позволит </w:t>
      </w:r>
      <w:r w:rsidR="005E6D3F">
        <w:rPr>
          <w:rFonts w:ascii="Times New Roman" w:hAnsi="Times New Roman" w:cs="Times New Roman"/>
        </w:rPr>
        <w:t>провести унификацию требований безопасности к ТКО на всех этапах их жизненного цикла, обосновывать и осуществлять эффективные меры</w:t>
      </w:r>
      <w:r w:rsidR="00833171" w:rsidRPr="00F5594B">
        <w:rPr>
          <w:rFonts w:ascii="Times New Roman" w:hAnsi="Times New Roman" w:cs="Times New Roman"/>
        </w:rPr>
        <w:t>, направленных</w:t>
      </w:r>
      <w:r w:rsidR="00E430D8" w:rsidRPr="00F5594B">
        <w:rPr>
          <w:rFonts w:ascii="Times New Roman" w:hAnsi="Times New Roman" w:cs="Times New Roman"/>
        </w:rPr>
        <w:t xml:space="preserve"> на снижение пожарного риска. </w:t>
      </w:r>
    </w:p>
    <w:p w:rsidR="008D5443" w:rsidRPr="00F5594B" w:rsidRDefault="008D5443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8D5443" w:rsidRPr="00F5594B" w:rsidRDefault="008D5443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8D5443" w:rsidRPr="00F5594B" w:rsidRDefault="008D5443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8D5443" w:rsidRPr="00F5594B" w:rsidRDefault="008D5443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8D5443" w:rsidRPr="00F5594B" w:rsidRDefault="008D5443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8D5443" w:rsidRPr="00F5594B" w:rsidRDefault="000C7556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Литература</w:t>
      </w:r>
    </w:p>
    <w:p w:rsidR="008168B8" w:rsidRDefault="008168B8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</w:rPr>
        <w:t xml:space="preserve">1. </w:t>
      </w:r>
      <w:r w:rsidR="00AC06CF" w:rsidRPr="00F5594B">
        <w:rPr>
          <w:rFonts w:ascii="Times New Roman" w:hAnsi="Times New Roman" w:cs="Times New Roman"/>
        </w:rPr>
        <w:t>Калюжина Е.А., Самарская Н.С. Экологические особенности воздействия полигонов твердых бытовых отходов на состояние окружающей среды в районах их расположения // Инженерный вестник Дона. 2014. №2. URL: https://cyberleninka.ru/article/n/ekologicheskie-osobennosti-vozdeystviya-poligonov-tverdyh-bytovyh-othodov-na-sostoyanie-okruzhayuschey-sredy-v-rayonah-ih (дата обращения: 10.07.2020).</w:t>
      </w:r>
    </w:p>
    <w:p w:rsidR="008471E6" w:rsidRPr="008471E6" w:rsidRDefault="008471E6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8471E6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8471E6">
        <w:rPr>
          <w:rFonts w:ascii="Times New Roman" w:hAnsi="Times New Roman" w:cs="Times New Roman"/>
          <w:lang w:val="en-US"/>
        </w:rPr>
        <w:t>Bovea</w:t>
      </w:r>
      <w:proofErr w:type="spellEnd"/>
      <w:r w:rsidRPr="008471E6">
        <w:rPr>
          <w:rFonts w:ascii="Times New Roman" w:hAnsi="Times New Roman" w:cs="Times New Roman"/>
          <w:lang w:val="en-US"/>
        </w:rPr>
        <w:t xml:space="preserve"> M.D., Ibáñez-</w:t>
      </w:r>
      <w:proofErr w:type="spellStart"/>
      <w:r w:rsidRPr="008471E6">
        <w:rPr>
          <w:rFonts w:ascii="Times New Roman" w:hAnsi="Times New Roman" w:cs="Times New Roman"/>
          <w:lang w:val="en-US"/>
        </w:rPr>
        <w:t>Forés</w:t>
      </w:r>
      <w:proofErr w:type="spellEnd"/>
      <w:r w:rsidRPr="008471E6">
        <w:rPr>
          <w:rFonts w:ascii="Times New Roman" w:hAnsi="Times New Roman" w:cs="Times New Roman"/>
          <w:lang w:val="en-US"/>
        </w:rPr>
        <w:t xml:space="preserve"> V., Gallardo A., </w:t>
      </w:r>
      <w:proofErr w:type="spellStart"/>
      <w:r w:rsidRPr="008471E6">
        <w:rPr>
          <w:rFonts w:ascii="Times New Roman" w:hAnsi="Times New Roman" w:cs="Times New Roman"/>
          <w:lang w:val="en-US"/>
        </w:rPr>
        <w:t>Colomer</w:t>
      </w:r>
      <w:proofErr w:type="spellEnd"/>
      <w:r w:rsidRPr="008471E6">
        <w:rPr>
          <w:rFonts w:ascii="Times New Roman" w:hAnsi="Times New Roman" w:cs="Times New Roman"/>
          <w:lang w:val="en-US"/>
        </w:rPr>
        <w:t xml:space="preserve">-Mendoza F.J.   Environmental assessment of alternative municipal solid waste management strategies. A Spanish case study // Waste Management, Volume 30, Issue 11, November 2010, pp. 2383-2395. </w:t>
      </w:r>
      <w:proofErr w:type="spellStart"/>
      <w:proofErr w:type="gramStart"/>
      <w:r w:rsidRPr="008471E6">
        <w:rPr>
          <w:rFonts w:ascii="Times New Roman" w:hAnsi="Times New Roman" w:cs="Times New Roman"/>
          <w:lang w:val="en-US"/>
        </w:rPr>
        <w:t>doi</w:t>
      </w:r>
      <w:proofErr w:type="spellEnd"/>
      <w:proofErr w:type="gramEnd"/>
      <w:r w:rsidRPr="008471E6">
        <w:rPr>
          <w:rFonts w:ascii="Times New Roman" w:hAnsi="Times New Roman" w:cs="Times New Roman"/>
          <w:lang w:val="en-US"/>
        </w:rPr>
        <w:t>: 10.1016/j.wasman.2010.03.001.</w:t>
      </w:r>
    </w:p>
    <w:p w:rsidR="008168B8" w:rsidRPr="00F5594B" w:rsidRDefault="008471E6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8471E6">
        <w:rPr>
          <w:rFonts w:ascii="Times New Roman" w:hAnsi="Times New Roman" w:cs="Times New Roman"/>
          <w:lang w:val="en-US"/>
        </w:rPr>
        <w:t>3</w:t>
      </w:r>
      <w:r w:rsidR="008168B8" w:rsidRPr="00F5594B">
        <w:rPr>
          <w:rFonts w:ascii="Times New Roman" w:hAnsi="Times New Roman" w:cs="Times New Roman"/>
          <w:lang w:val="en-US"/>
        </w:rPr>
        <w:t xml:space="preserve">. Hong </w:t>
      </w:r>
      <w:proofErr w:type="spellStart"/>
      <w:r w:rsidR="008168B8" w:rsidRPr="00F5594B">
        <w:rPr>
          <w:rFonts w:ascii="Times New Roman" w:hAnsi="Times New Roman" w:cs="Times New Roman"/>
          <w:lang w:val="en-US"/>
        </w:rPr>
        <w:t>Jinglan</w:t>
      </w:r>
      <w:proofErr w:type="spellEnd"/>
      <w:r w:rsidR="008168B8" w:rsidRPr="00F5594B">
        <w:rPr>
          <w:rFonts w:ascii="Times New Roman" w:hAnsi="Times New Roman" w:cs="Times New Roman"/>
          <w:lang w:val="en-US"/>
        </w:rPr>
        <w:t xml:space="preserve">, Li </w:t>
      </w:r>
      <w:proofErr w:type="spellStart"/>
      <w:r w:rsidR="008168B8" w:rsidRPr="00F5594B">
        <w:rPr>
          <w:rFonts w:ascii="Times New Roman" w:hAnsi="Times New Roman" w:cs="Times New Roman"/>
          <w:lang w:val="en-US"/>
        </w:rPr>
        <w:t>Xiangzhi</w:t>
      </w:r>
      <w:proofErr w:type="spellEnd"/>
      <w:r w:rsidR="008168B8" w:rsidRPr="00F559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168B8" w:rsidRPr="00F5594B">
        <w:rPr>
          <w:rFonts w:ascii="Times New Roman" w:hAnsi="Times New Roman" w:cs="Times New Roman"/>
          <w:lang w:val="en-US"/>
        </w:rPr>
        <w:t>Zhaojie</w:t>
      </w:r>
      <w:proofErr w:type="spellEnd"/>
      <w:r w:rsidR="008168B8" w:rsidRPr="00F5594B">
        <w:rPr>
          <w:rFonts w:ascii="Times New Roman" w:hAnsi="Times New Roman" w:cs="Times New Roman"/>
          <w:lang w:val="en-US"/>
        </w:rPr>
        <w:t xml:space="preserve"> Cui Life cycle assessment of four municipal solid waste management scenarios in China //  Waste Management, Volume 30, Issue 11, November 2010, pp. 2362-2369.  </w:t>
      </w:r>
    </w:p>
    <w:p w:rsidR="00E57225" w:rsidRPr="00F5594B" w:rsidRDefault="006C0DEB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  <w:lang w:val="en-US"/>
        </w:rPr>
        <w:t xml:space="preserve">4. </w:t>
      </w:r>
      <w:r w:rsidR="00E57225" w:rsidRPr="00F5594B">
        <w:rPr>
          <w:rFonts w:ascii="Times New Roman" w:hAnsi="Times New Roman" w:cs="Times New Roman"/>
          <w:lang w:val="en-US"/>
        </w:rPr>
        <w:t xml:space="preserve">Di Foggia, G. </w:t>
      </w:r>
      <w:proofErr w:type="spellStart"/>
      <w:r w:rsidR="00C75D29" w:rsidRPr="00F5594B">
        <w:rPr>
          <w:rFonts w:ascii="Times New Roman" w:hAnsi="Times New Roman" w:cs="Times New Roman"/>
          <w:lang w:val="en-US"/>
        </w:rPr>
        <w:t>Beccarello</w:t>
      </w:r>
      <w:proofErr w:type="spellEnd"/>
      <w:r w:rsidR="00C75D29" w:rsidRPr="00F5594B">
        <w:rPr>
          <w:rFonts w:ascii="Times New Roman" w:hAnsi="Times New Roman" w:cs="Times New Roman"/>
          <w:lang w:val="en-US"/>
        </w:rPr>
        <w:t xml:space="preserve"> M.</w:t>
      </w:r>
      <w:r w:rsidR="00C75D29" w:rsidRPr="00C75D29">
        <w:rPr>
          <w:rFonts w:ascii="Times New Roman" w:hAnsi="Times New Roman" w:cs="Times New Roman"/>
          <w:lang w:val="en-US"/>
        </w:rPr>
        <w:t xml:space="preserve"> </w:t>
      </w:r>
      <w:r w:rsidR="00E57225" w:rsidRPr="00F5594B">
        <w:rPr>
          <w:rFonts w:ascii="Times New Roman" w:hAnsi="Times New Roman" w:cs="Times New Roman"/>
          <w:lang w:val="en-US"/>
        </w:rPr>
        <w:t xml:space="preserve">Improving efficiency in the MSW collection and disposal service combining price cap and yardstick regulation: The Italian case // Waste Management. - 2018. </w:t>
      </w:r>
      <w:r w:rsidR="00E57225" w:rsidRPr="00F5594B">
        <w:rPr>
          <w:rFonts w:ascii="Times New Roman" w:hAnsi="Times New Roman" w:cs="Times New Roman"/>
        </w:rPr>
        <w:t xml:space="preserve">‒ </w:t>
      </w:r>
      <w:r w:rsidR="00E57225" w:rsidRPr="00F5594B">
        <w:rPr>
          <w:rFonts w:ascii="Times New Roman" w:hAnsi="Times New Roman" w:cs="Times New Roman"/>
          <w:lang w:val="en-US"/>
        </w:rPr>
        <w:t>Vol</w:t>
      </w:r>
      <w:r w:rsidR="00E57225" w:rsidRPr="00F5594B">
        <w:rPr>
          <w:rFonts w:ascii="Times New Roman" w:hAnsi="Times New Roman" w:cs="Times New Roman"/>
        </w:rPr>
        <w:t xml:space="preserve">. 79. ‒ </w:t>
      </w:r>
      <w:r w:rsidR="00E57225" w:rsidRPr="00F5594B">
        <w:rPr>
          <w:rFonts w:ascii="Times New Roman" w:hAnsi="Times New Roman" w:cs="Times New Roman"/>
          <w:lang w:val="en-US"/>
        </w:rPr>
        <w:t>P</w:t>
      </w:r>
      <w:r w:rsidR="00E57225" w:rsidRPr="00F5594B">
        <w:rPr>
          <w:rFonts w:ascii="Times New Roman" w:hAnsi="Times New Roman" w:cs="Times New Roman"/>
        </w:rPr>
        <w:t xml:space="preserve">. 223-231. </w:t>
      </w:r>
      <w:r w:rsidR="00E57225" w:rsidRPr="00F5594B">
        <w:rPr>
          <w:rFonts w:ascii="Times New Roman" w:hAnsi="Times New Roman" w:cs="Times New Roman"/>
          <w:lang w:val="en-US"/>
        </w:rPr>
        <w:t>DOI</w:t>
      </w:r>
      <w:r w:rsidR="00E57225" w:rsidRPr="00F5594B">
        <w:rPr>
          <w:rFonts w:ascii="Times New Roman" w:hAnsi="Times New Roman" w:cs="Times New Roman"/>
        </w:rPr>
        <w:t>: 10.1016/</w:t>
      </w:r>
      <w:r w:rsidR="00E57225" w:rsidRPr="00F5594B">
        <w:rPr>
          <w:rFonts w:ascii="Times New Roman" w:hAnsi="Times New Roman" w:cs="Times New Roman"/>
          <w:lang w:val="en-US"/>
        </w:rPr>
        <w:t>j</w:t>
      </w:r>
      <w:r w:rsidR="00E57225" w:rsidRPr="00F5594B">
        <w:rPr>
          <w:rFonts w:ascii="Times New Roman" w:hAnsi="Times New Roman" w:cs="Times New Roman"/>
        </w:rPr>
        <w:t>.</w:t>
      </w:r>
      <w:proofErr w:type="spellStart"/>
      <w:r w:rsidR="00E57225" w:rsidRPr="00F5594B">
        <w:rPr>
          <w:rFonts w:ascii="Times New Roman" w:hAnsi="Times New Roman" w:cs="Times New Roman"/>
          <w:lang w:val="en-US"/>
        </w:rPr>
        <w:t>wasman</w:t>
      </w:r>
      <w:proofErr w:type="spellEnd"/>
      <w:r w:rsidR="00E57225" w:rsidRPr="00F5594B">
        <w:rPr>
          <w:rFonts w:ascii="Times New Roman" w:hAnsi="Times New Roman" w:cs="Times New Roman"/>
        </w:rPr>
        <w:t>.2018.07.040.</w:t>
      </w:r>
    </w:p>
    <w:p w:rsidR="00D70FB9" w:rsidRPr="00F5594B" w:rsidRDefault="005F1CE7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D70FB9" w:rsidRPr="00F5594B">
        <w:rPr>
          <w:rFonts w:ascii="Times New Roman" w:hAnsi="Times New Roman" w:cs="Times New Roman"/>
        </w:rPr>
        <w:t>. Медведев В. И. Система безопасности транспортирования опасных отходов на железнодорожном транспорте // Известия Транссиба. 2013. №1 (13). URL: https://cyberleninka.ru/article/n/sistema-bezopasnosti-transportirovaniya-opasnyh-othodov-na-zheleznodorozhnom-transporte (дата обращения: 25.09.2020).</w:t>
      </w:r>
    </w:p>
    <w:p w:rsidR="00483C3E" w:rsidRPr="00F5594B" w:rsidRDefault="00D70FB9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F5594B">
        <w:rPr>
          <w:rFonts w:ascii="Times New Roman" w:hAnsi="Times New Roman" w:cs="Times New Roman"/>
        </w:rPr>
        <w:t xml:space="preserve">8. </w:t>
      </w:r>
      <w:r w:rsidR="00483C3E" w:rsidRPr="00F5594B">
        <w:rPr>
          <w:rFonts w:ascii="Times New Roman" w:hAnsi="Times New Roman" w:cs="Times New Roman"/>
        </w:rPr>
        <w:t>Х</w:t>
      </w:r>
      <w:r w:rsidR="001B7110" w:rsidRPr="00F5594B">
        <w:rPr>
          <w:rFonts w:ascii="Times New Roman" w:hAnsi="Times New Roman" w:cs="Times New Roman"/>
        </w:rPr>
        <w:t>а</w:t>
      </w:r>
      <w:r w:rsidR="00483C3E" w:rsidRPr="00F5594B">
        <w:rPr>
          <w:rFonts w:ascii="Times New Roman" w:hAnsi="Times New Roman" w:cs="Times New Roman"/>
        </w:rPr>
        <w:t xml:space="preserve">йдаров А.Г., Королева Л.А., Ивахнюк Г.К. Эксергетическая оценка пожарной опасности перевозок на железнодорожном транспорте // Пожаровзрывобезопасность. – 2018. – Том 27, № 10. – С. 26-37. </w:t>
      </w:r>
      <w:r w:rsidR="00066863" w:rsidRPr="00F5594B">
        <w:rPr>
          <w:rFonts w:ascii="Times New Roman" w:hAnsi="Times New Roman" w:cs="Times New Roman"/>
          <w:lang w:val="en-US"/>
        </w:rPr>
        <w:t xml:space="preserve">7. </w:t>
      </w:r>
    </w:p>
    <w:p w:rsidR="00990B28" w:rsidRPr="00F5594B" w:rsidRDefault="00D65126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F5594B">
        <w:rPr>
          <w:rFonts w:ascii="Times New Roman" w:hAnsi="Times New Roman" w:cs="Times New Roman"/>
          <w:lang w:val="en-US"/>
        </w:rPr>
        <w:t>9. Moody C.</w:t>
      </w:r>
      <w:r w:rsidR="00BE49A1" w:rsidRPr="00F5594B">
        <w:rPr>
          <w:rFonts w:ascii="Times New Roman" w:hAnsi="Times New Roman" w:cs="Times New Roman"/>
          <w:lang w:val="en-US"/>
        </w:rPr>
        <w:t xml:space="preserve"> M.</w:t>
      </w:r>
      <w:r w:rsidRPr="00F5594B">
        <w:rPr>
          <w:rFonts w:ascii="Times New Roman" w:hAnsi="Times New Roman" w:cs="Times New Roman"/>
          <w:lang w:val="en-US"/>
        </w:rPr>
        <w:t>, Townsend T G. A comparison of landfill leachates based on waste composition // Waste Management. – 2017. - Vol. 63. - P. 267-274. DOI: 10.1016/j.wasman.2016.09.020.</w:t>
      </w:r>
    </w:p>
    <w:p w:rsidR="00D068AF" w:rsidRPr="00F5594B" w:rsidRDefault="00990B28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594B">
        <w:rPr>
          <w:rFonts w:ascii="Times New Roman" w:hAnsi="Times New Roman" w:cs="Times New Roman"/>
          <w:lang w:val="en-US"/>
        </w:rPr>
        <w:t>10.</w:t>
      </w:r>
      <w:r w:rsidR="004D6D90" w:rsidRPr="00F5594B">
        <w:rPr>
          <w:rFonts w:ascii="Times New Roman" w:hAnsi="Times New Roman" w:cs="Times New Roman"/>
          <w:lang w:val="en-US"/>
        </w:rPr>
        <w:tab/>
      </w:r>
      <w:proofErr w:type="spellStart"/>
      <w:r w:rsidR="004D6D90" w:rsidRPr="00F5594B">
        <w:rPr>
          <w:rFonts w:ascii="Times New Roman" w:hAnsi="Times New Roman" w:cs="Times New Roman"/>
          <w:lang w:val="en-US"/>
        </w:rPr>
        <w:t>Eboh</w:t>
      </w:r>
      <w:proofErr w:type="spellEnd"/>
      <w:r w:rsidR="004D6D90" w:rsidRPr="00F5594B">
        <w:rPr>
          <w:rFonts w:ascii="Times New Roman" w:hAnsi="Times New Roman" w:cs="Times New Roman"/>
          <w:lang w:val="en-US"/>
        </w:rPr>
        <w:t xml:space="preserve"> F. C., </w:t>
      </w:r>
      <w:proofErr w:type="spellStart"/>
      <w:r w:rsidR="004D6D90" w:rsidRPr="00F5594B">
        <w:rPr>
          <w:rFonts w:ascii="Times New Roman" w:hAnsi="Times New Roman" w:cs="Times New Roman"/>
          <w:lang w:val="en-US"/>
        </w:rPr>
        <w:t>Ahlström</w:t>
      </w:r>
      <w:proofErr w:type="spellEnd"/>
      <w:r w:rsidR="004D6D90" w:rsidRPr="00F5594B">
        <w:rPr>
          <w:rFonts w:ascii="Times New Roman" w:hAnsi="Times New Roman" w:cs="Times New Roman"/>
          <w:lang w:val="en-US"/>
        </w:rPr>
        <w:t xml:space="preserve"> P., Richards T. Estimating the specific chemical exergy of municipal solid waste. Energy</w:t>
      </w:r>
      <w:r w:rsidR="004D6D90" w:rsidRPr="00F5594B">
        <w:rPr>
          <w:rFonts w:ascii="Times New Roman" w:hAnsi="Times New Roman" w:cs="Times New Roman"/>
        </w:rPr>
        <w:t xml:space="preserve"> </w:t>
      </w:r>
      <w:r w:rsidR="004D6D90" w:rsidRPr="00F5594B">
        <w:rPr>
          <w:rFonts w:ascii="Times New Roman" w:hAnsi="Times New Roman" w:cs="Times New Roman"/>
          <w:lang w:val="en-US"/>
        </w:rPr>
        <w:t>Science</w:t>
      </w:r>
      <w:r w:rsidR="004D6D90" w:rsidRPr="00F5594B">
        <w:rPr>
          <w:rFonts w:ascii="Times New Roman" w:hAnsi="Times New Roman" w:cs="Times New Roman"/>
        </w:rPr>
        <w:t xml:space="preserve"> &amp; </w:t>
      </w:r>
      <w:r w:rsidR="004D6D90" w:rsidRPr="00F5594B">
        <w:rPr>
          <w:rFonts w:ascii="Times New Roman" w:hAnsi="Times New Roman" w:cs="Times New Roman"/>
          <w:lang w:val="en-US"/>
        </w:rPr>
        <w:t>Engineering</w:t>
      </w:r>
      <w:r w:rsidR="004D6D90" w:rsidRPr="00F5594B">
        <w:rPr>
          <w:rFonts w:ascii="Times New Roman" w:hAnsi="Times New Roman" w:cs="Times New Roman"/>
        </w:rPr>
        <w:t xml:space="preserve">, 2016, </w:t>
      </w:r>
      <w:proofErr w:type="spellStart"/>
      <w:r w:rsidR="004D6D90" w:rsidRPr="00F5594B">
        <w:rPr>
          <w:rFonts w:ascii="Times New Roman" w:hAnsi="Times New Roman" w:cs="Times New Roman"/>
          <w:lang w:val="en-US"/>
        </w:rPr>
        <w:t>vol</w:t>
      </w:r>
      <w:proofErr w:type="spellEnd"/>
      <w:r w:rsidR="004D6D90" w:rsidRPr="00F5594B">
        <w:rPr>
          <w:rFonts w:ascii="Times New Roman" w:hAnsi="Times New Roman" w:cs="Times New Roman"/>
        </w:rPr>
        <w:t xml:space="preserve">. 4, </w:t>
      </w:r>
      <w:r w:rsidR="004D6D90" w:rsidRPr="00F5594B">
        <w:rPr>
          <w:rFonts w:ascii="Times New Roman" w:hAnsi="Times New Roman" w:cs="Times New Roman"/>
          <w:lang w:val="en-US"/>
        </w:rPr>
        <w:t>issue</w:t>
      </w:r>
      <w:r w:rsidR="004D6D90" w:rsidRPr="00F5594B">
        <w:rPr>
          <w:rFonts w:ascii="Times New Roman" w:hAnsi="Times New Roman" w:cs="Times New Roman"/>
        </w:rPr>
        <w:t xml:space="preserve"> 3, </w:t>
      </w:r>
      <w:r w:rsidR="004D6D90" w:rsidRPr="00F5594B">
        <w:rPr>
          <w:rFonts w:ascii="Times New Roman" w:hAnsi="Times New Roman" w:cs="Times New Roman"/>
          <w:lang w:val="en-US"/>
        </w:rPr>
        <w:t>pp</w:t>
      </w:r>
      <w:r w:rsidR="004D6D90" w:rsidRPr="00F5594B">
        <w:rPr>
          <w:rFonts w:ascii="Times New Roman" w:hAnsi="Times New Roman" w:cs="Times New Roman"/>
        </w:rPr>
        <w:t xml:space="preserve">. 217-231. </w:t>
      </w:r>
      <w:r w:rsidR="004D6D90" w:rsidRPr="00F5594B">
        <w:rPr>
          <w:rFonts w:ascii="Times New Roman" w:hAnsi="Times New Roman" w:cs="Times New Roman"/>
          <w:lang w:val="en-US"/>
        </w:rPr>
        <w:t>DOI</w:t>
      </w:r>
      <w:r w:rsidR="004D6D90" w:rsidRPr="00F5594B">
        <w:rPr>
          <w:rFonts w:ascii="Times New Roman" w:hAnsi="Times New Roman" w:cs="Times New Roman"/>
        </w:rPr>
        <w:t>: 10.1002/</w:t>
      </w:r>
      <w:r w:rsidR="004D6D90" w:rsidRPr="00F5594B">
        <w:rPr>
          <w:rFonts w:ascii="Times New Roman" w:hAnsi="Times New Roman" w:cs="Times New Roman"/>
          <w:lang w:val="en-US"/>
        </w:rPr>
        <w:t>ese</w:t>
      </w:r>
      <w:r w:rsidR="004D6D90" w:rsidRPr="00F5594B">
        <w:rPr>
          <w:rFonts w:ascii="Times New Roman" w:hAnsi="Times New Roman" w:cs="Times New Roman"/>
        </w:rPr>
        <w:t>3.121.</w:t>
      </w:r>
    </w:p>
    <w:p w:rsidR="00D068AF" w:rsidRPr="00F5594B" w:rsidRDefault="00D068AF" w:rsidP="00F5594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sectPr w:rsidR="00D068AF" w:rsidRPr="00F55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62"/>
    <w:rsid w:val="00016632"/>
    <w:rsid w:val="00021B4E"/>
    <w:rsid w:val="00030FEE"/>
    <w:rsid w:val="0003309A"/>
    <w:rsid w:val="000608D8"/>
    <w:rsid w:val="00065835"/>
    <w:rsid w:val="00066863"/>
    <w:rsid w:val="00067E17"/>
    <w:rsid w:val="0007258B"/>
    <w:rsid w:val="000A5B44"/>
    <w:rsid w:val="000B4648"/>
    <w:rsid w:val="000C0F11"/>
    <w:rsid w:val="000C15B5"/>
    <w:rsid w:val="000C602D"/>
    <w:rsid w:val="000C7556"/>
    <w:rsid w:val="000D0085"/>
    <w:rsid w:val="000D1A61"/>
    <w:rsid w:val="000E07A8"/>
    <w:rsid w:val="000E0C3D"/>
    <w:rsid w:val="000E4DA9"/>
    <w:rsid w:val="000E7301"/>
    <w:rsid w:val="000F1116"/>
    <w:rsid w:val="001141C0"/>
    <w:rsid w:val="00122141"/>
    <w:rsid w:val="00126F49"/>
    <w:rsid w:val="0012764F"/>
    <w:rsid w:val="001276BE"/>
    <w:rsid w:val="001304B6"/>
    <w:rsid w:val="00130610"/>
    <w:rsid w:val="00137A51"/>
    <w:rsid w:val="00163850"/>
    <w:rsid w:val="00171D0B"/>
    <w:rsid w:val="00173721"/>
    <w:rsid w:val="0017382F"/>
    <w:rsid w:val="001765B6"/>
    <w:rsid w:val="00187504"/>
    <w:rsid w:val="00195447"/>
    <w:rsid w:val="001A6477"/>
    <w:rsid w:val="001B7110"/>
    <w:rsid w:val="001C3738"/>
    <w:rsid w:val="001D208D"/>
    <w:rsid w:val="001D309B"/>
    <w:rsid w:val="001E36D9"/>
    <w:rsid w:val="001E3909"/>
    <w:rsid w:val="001F239F"/>
    <w:rsid w:val="001F674C"/>
    <w:rsid w:val="00224678"/>
    <w:rsid w:val="002254EC"/>
    <w:rsid w:val="00234A6A"/>
    <w:rsid w:val="00236E1A"/>
    <w:rsid w:val="00243A84"/>
    <w:rsid w:val="00270478"/>
    <w:rsid w:val="002906C1"/>
    <w:rsid w:val="002978AC"/>
    <w:rsid w:val="002A273C"/>
    <w:rsid w:val="002B080D"/>
    <w:rsid w:val="002C5C0A"/>
    <w:rsid w:val="002D4B80"/>
    <w:rsid w:val="002D60F3"/>
    <w:rsid w:val="002F40AC"/>
    <w:rsid w:val="003224E0"/>
    <w:rsid w:val="00334E3F"/>
    <w:rsid w:val="00342103"/>
    <w:rsid w:val="00343262"/>
    <w:rsid w:val="003447DC"/>
    <w:rsid w:val="003476A2"/>
    <w:rsid w:val="00355F04"/>
    <w:rsid w:val="00360831"/>
    <w:rsid w:val="00360FA8"/>
    <w:rsid w:val="00381AD5"/>
    <w:rsid w:val="00383392"/>
    <w:rsid w:val="0039503D"/>
    <w:rsid w:val="003B048E"/>
    <w:rsid w:val="003B74BA"/>
    <w:rsid w:val="003C3318"/>
    <w:rsid w:val="003C3786"/>
    <w:rsid w:val="003C6715"/>
    <w:rsid w:val="003C7454"/>
    <w:rsid w:val="003D6C74"/>
    <w:rsid w:val="003F0446"/>
    <w:rsid w:val="003F3BE0"/>
    <w:rsid w:val="003F40E1"/>
    <w:rsid w:val="00404548"/>
    <w:rsid w:val="00420D05"/>
    <w:rsid w:val="00420D62"/>
    <w:rsid w:val="0042613F"/>
    <w:rsid w:val="004362FD"/>
    <w:rsid w:val="00437C2B"/>
    <w:rsid w:val="00441EDE"/>
    <w:rsid w:val="0045171E"/>
    <w:rsid w:val="00451B77"/>
    <w:rsid w:val="004520B0"/>
    <w:rsid w:val="0045393F"/>
    <w:rsid w:val="00480755"/>
    <w:rsid w:val="00481FF6"/>
    <w:rsid w:val="00483C3E"/>
    <w:rsid w:val="0048404C"/>
    <w:rsid w:val="00491A29"/>
    <w:rsid w:val="004A07AB"/>
    <w:rsid w:val="004B2EDA"/>
    <w:rsid w:val="004D6D90"/>
    <w:rsid w:val="004F0269"/>
    <w:rsid w:val="004F14F3"/>
    <w:rsid w:val="00511155"/>
    <w:rsid w:val="00512662"/>
    <w:rsid w:val="00514592"/>
    <w:rsid w:val="00521B61"/>
    <w:rsid w:val="00527EB8"/>
    <w:rsid w:val="00535B64"/>
    <w:rsid w:val="00536800"/>
    <w:rsid w:val="005402B7"/>
    <w:rsid w:val="0054797E"/>
    <w:rsid w:val="00550C11"/>
    <w:rsid w:val="00556EAB"/>
    <w:rsid w:val="00570187"/>
    <w:rsid w:val="0057184A"/>
    <w:rsid w:val="005A1D22"/>
    <w:rsid w:val="005A33D7"/>
    <w:rsid w:val="005A6882"/>
    <w:rsid w:val="005B32EE"/>
    <w:rsid w:val="005B7AFE"/>
    <w:rsid w:val="005C3422"/>
    <w:rsid w:val="005E6D3F"/>
    <w:rsid w:val="005F1CE7"/>
    <w:rsid w:val="0060418B"/>
    <w:rsid w:val="00631172"/>
    <w:rsid w:val="00631C18"/>
    <w:rsid w:val="00654E66"/>
    <w:rsid w:val="00660B63"/>
    <w:rsid w:val="00672C93"/>
    <w:rsid w:val="00680039"/>
    <w:rsid w:val="00695E76"/>
    <w:rsid w:val="006A3CBC"/>
    <w:rsid w:val="006C0DEB"/>
    <w:rsid w:val="006C52DC"/>
    <w:rsid w:val="006D2AA1"/>
    <w:rsid w:val="006E1060"/>
    <w:rsid w:val="0072270A"/>
    <w:rsid w:val="00726625"/>
    <w:rsid w:val="00751230"/>
    <w:rsid w:val="00751785"/>
    <w:rsid w:val="0077782C"/>
    <w:rsid w:val="007858A8"/>
    <w:rsid w:val="00786A95"/>
    <w:rsid w:val="007920B7"/>
    <w:rsid w:val="007B33F7"/>
    <w:rsid w:val="007D1BA0"/>
    <w:rsid w:val="00800A45"/>
    <w:rsid w:val="008168B8"/>
    <w:rsid w:val="00823A2F"/>
    <w:rsid w:val="00833171"/>
    <w:rsid w:val="00836C93"/>
    <w:rsid w:val="0083745E"/>
    <w:rsid w:val="00844AB8"/>
    <w:rsid w:val="008471E6"/>
    <w:rsid w:val="00856ED2"/>
    <w:rsid w:val="008734B8"/>
    <w:rsid w:val="00876414"/>
    <w:rsid w:val="0088090A"/>
    <w:rsid w:val="0088746D"/>
    <w:rsid w:val="008906CF"/>
    <w:rsid w:val="0089402D"/>
    <w:rsid w:val="008960F5"/>
    <w:rsid w:val="008D4E9D"/>
    <w:rsid w:val="008D5443"/>
    <w:rsid w:val="008D5B53"/>
    <w:rsid w:val="008E1BE0"/>
    <w:rsid w:val="008E1EB9"/>
    <w:rsid w:val="008E28AA"/>
    <w:rsid w:val="008E7FEA"/>
    <w:rsid w:val="00914FFD"/>
    <w:rsid w:val="00923BEF"/>
    <w:rsid w:val="009344AC"/>
    <w:rsid w:val="0094184D"/>
    <w:rsid w:val="00954F4A"/>
    <w:rsid w:val="0095543C"/>
    <w:rsid w:val="00966EA8"/>
    <w:rsid w:val="0097355C"/>
    <w:rsid w:val="00975FB0"/>
    <w:rsid w:val="00981129"/>
    <w:rsid w:val="00990B28"/>
    <w:rsid w:val="009912AF"/>
    <w:rsid w:val="009A687C"/>
    <w:rsid w:val="009B3243"/>
    <w:rsid w:val="009C2B5B"/>
    <w:rsid w:val="009C55F3"/>
    <w:rsid w:val="009C568D"/>
    <w:rsid w:val="009D204B"/>
    <w:rsid w:val="009D5CE0"/>
    <w:rsid w:val="009E04C6"/>
    <w:rsid w:val="009E3625"/>
    <w:rsid w:val="009E3BA4"/>
    <w:rsid w:val="009E506A"/>
    <w:rsid w:val="009F131B"/>
    <w:rsid w:val="00A029AB"/>
    <w:rsid w:val="00A03945"/>
    <w:rsid w:val="00A10C71"/>
    <w:rsid w:val="00A224C6"/>
    <w:rsid w:val="00A3701D"/>
    <w:rsid w:val="00A423AC"/>
    <w:rsid w:val="00A530C8"/>
    <w:rsid w:val="00A53657"/>
    <w:rsid w:val="00A57813"/>
    <w:rsid w:val="00A67382"/>
    <w:rsid w:val="00A72E72"/>
    <w:rsid w:val="00A809A8"/>
    <w:rsid w:val="00A82E8C"/>
    <w:rsid w:val="00A95851"/>
    <w:rsid w:val="00A973A4"/>
    <w:rsid w:val="00AB2366"/>
    <w:rsid w:val="00AC06CF"/>
    <w:rsid w:val="00AC20B5"/>
    <w:rsid w:val="00AD2388"/>
    <w:rsid w:val="00AE6EFF"/>
    <w:rsid w:val="00AF6226"/>
    <w:rsid w:val="00AF689B"/>
    <w:rsid w:val="00B00693"/>
    <w:rsid w:val="00B0747C"/>
    <w:rsid w:val="00B17749"/>
    <w:rsid w:val="00B26F42"/>
    <w:rsid w:val="00B44461"/>
    <w:rsid w:val="00B5678F"/>
    <w:rsid w:val="00B61F86"/>
    <w:rsid w:val="00B6506E"/>
    <w:rsid w:val="00B656BE"/>
    <w:rsid w:val="00B748FA"/>
    <w:rsid w:val="00B83479"/>
    <w:rsid w:val="00BA7968"/>
    <w:rsid w:val="00BC3A02"/>
    <w:rsid w:val="00BE49A1"/>
    <w:rsid w:val="00BF13EB"/>
    <w:rsid w:val="00BF2D2E"/>
    <w:rsid w:val="00BF7B29"/>
    <w:rsid w:val="00C04939"/>
    <w:rsid w:val="00C133EA"/>
    <w:rsid w:val="00C166D8"/>
    <w:rsid w:val="00C348E3"/>
    <w:rsid w:val="00C37E88"/>
    <w:rsid w:val="00C472F6"/>
    <w:rsid w:val="00C500F5"/>
    <w:rsid w:val="00C519E5"/>
    <w:rsid w:val="00C52EC0"/>
    <w:rsid w:val="00C72FAE"/>
    <w:rsid w:val="00C75D29"/>
    <w:rsid w:val="00C8013B"/>
    <w:rsid w:val="00C853FF"/>
    <w:rsid w:val="00C915B7"/>
    <w:rsid w:val="00C959DD"/>
    <w:rsid w:val="00CA7CA6"/>
    <w:rsid w:val="00CB08E0"/>
    <w:rsid w:val="00CB21DF"/>
    <w:rsid w:val="00CB4014"/>
    <w:rsid w:val="00CB7F6B"/>
    <w:rsid w:val="00CC1869"/>
    <w:rsid w:val="00CC1F96"/>
    <w:rsid w:val="00CD4676"/>
    <w:rsid w:val="00CF2B28"/>
    <w:rsid w:val="00CF75C0"/>
    <w:rsid w:val="00CF7952"/>
    <w:rsid w:val="00D068AF"/>
    <w:rsid w:val="00D21940"/>
    <w:rsid w:val="00D25C3D"/>
    <w:rsid w:val="00D3026E"/>
    <w:rsid w:val="00D319CC"/>
    <w:rsid w:val="00D335EE"/>
    <w:rsid w:val="00D44AB6"/>
    <w:rsid w:val="00D44ED4"/>
    <w:rsid w:val="00D56EE6"/>
    <w:rsid w:val="00D5746F"/>
    <w:rsid w:val="00D65126"/>
    <w:rsid w:val="00D70FB9"/>
    <w:rsid w:val="00D729FF"/>
    <w:rsid w:val="00D76405"/>
    <w:rsid w:val="00D87204"/>
    <w:rsid w:val="00D96095"/>
    <w:rsid w:val="00DC7A59"/>
    <w:rsid w:val="00DE65E7"/>
    <w:rsid w:val="00DE713C"/>
    <w:rsid w:val="00DF1632"/>
    <w:rsid w:val="00DF51ED"/>
    <w:rsid w:val="00DF7CAD"/>
    <w:rsid w:val="00DF7EDA"/>
    <w:rsid w:val="00E15DAF"/>
    <w:rsid w:val="00E20D6F"/>
    <w:rsid w:val="00E300CA"/>
    <w:rsid w:val="00E32C29"/>
    <w:rsid w:val="00E4068E"/>
    <w:rsid w:val="00E4136A"/>
    <w:rsid w:val="00E430D8"/>
    <w:rsid w:val="00E571B2"/>
    <w:rsid w:val="00E57225"/>
    <w:rsid w:val="00E62C8C"/>
    <w:rsid w:val="00E66053"/>
    <w:rsid w:val="00E75414"/>
    <w:rsid w:val="00EB219E"/>
    <w:rsid w:val="00EC4498"/>
    <w:rsid w:val="00ED2C6A"/>
    <w:rsid w:val="00ED6863"/>
    <w:rsid w:val="00EE1E40"/>
    <w:rsid w:val="00EE4344"/>
    <w:rsid w:val="00EE5B11"/>
    <w:rsid w:val="00F201C7"/>
    <w:rsid w:val="00F32858"/>
    <w:rsid w:val="00F47162"/>
    <w:rsid w:val="00F47970"/>
    <w:rsid w:val="00F50652"/>
    <w:rsid w:val="00F5550E"/>
    <w:rsid w:val="00F5594B"/>
    <w:rsid w:val="00F62B39"/>
    <w:rsid w:val="00F671FF"/>
    <w:rsid w:val="00F71478"/>
    <w:rsid w:val="00F7150B"/>
    <w:rsid w:val="00F750AA"/>
    <w:rsid w:val="00F82C0C"/>
    <w:rsid w:val="00F92925"/>
    <w:rsid w:val="00F94D3F"/>
    <w:rsid w:val="00FA3948"/>
    <w:rsid w:val="00FB5691"/>
    <w:rsid w:val="00FC6951"/>
    <w:rsid w:val="00FC6E49"/>
    <w:rsid w:val="00FC77EF"/>
    <w:rsid w:val="00FD375D"/>
    <w:rsid w:val="00FD5373"/>
    <w:rsid w:val="00FD58F1"/>
    <w:rsid w:val="00FE11FB"/>
    <w:rsid w:val="00FE62FE"/>
    <w:rsid w:val="00FE7451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42284E-06F5-2F49-9B1C-01ECE2D0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F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A07AB"/>
    <w:rPr>
      <w:color w:val="808080"/>
    </w:rPr>
  </w:style>
  <w:style w:type="table" w:customStyle="1" w:styleId="181">
    <w:name w:val="Сетка таблицы181"/>
    <w:basedOn w:val="TableNormal"/>
    <w:next w:val="TableGrid"/>
    <w:uiPriority w:val="39"/>
    <w:rsid w:val="00F929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92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8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89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20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0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6420">
              <w:marLeft w:val="3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64518">
              <w:marLeft w:val="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181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0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1.bin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2.bin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stacked"/>
        <c:varyColors val="0"/>
        <c:ser>
          <c:idx val="12"/>
          <c:order val="0"/>
          <c:tx>
            <c:strRef>
              <c:f>Москва!$AE$22</c:f>
              <c:strCache>
                <c:ptCount val="1"/>
                <c:pt idx="0">
                  <c:v>Прочие материалы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Москва!$AF$22:$AM$22</c:f>
              <c:numCache>
                <c:formatCode>0.00</c:formatCode>
                <c:ptCount val="8"/>
                <c:pt idx="0">
                  <c:v>0.19296600000000003</c:v>
                </c:pt>
                <c:pt idx="1">
                  <c:v>0</c:v>
                </c:pt>
                <c:pt idx="2">
                  <c:v>0</c:v>
                </c:pt>
                <c:pt idx="3">
                  <c:v>1.0934740000000001</c:v>
                </c:pt>
                <c:pt idx="4">
                  <c:v>0.25728800000000002</c:v>
                </c:pt>
                <c:pt idx="5">
                  <c:v>1.7366940000000002</c:v>
                </c:pt>
                <c:pt idx="6">
                  <c:v>0.86834700000000009</c:v>
                </c:pt>
                <c:pt idx="7">
                  <c:v>1.672372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473-42F6-BD1D-CC813B13F90C}"/>
            </c:ext>
          </c:extLst>
        </c:ser>
        <c:ser>
          <c:idx val="15"/>
          <c:order val="1"/>
          <c:tx>
            <c:strRef>
              <c:f>Москва!$AE$25</c:f>
              <c:strCache>
                <c:ptCount val="1"/>
                <c:pt idx="0">
                  <c:v>Мелкий отсев ( 3 мм)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Москва!$AF$25:$AM$25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473-42F6-BD1D-CC813B13F90C}"/>
            </c:ext>
          </c:extLst>
        </c:ser>
        <c:ser>
          <c:idx val="13"/>
          <c:order val="2"/>
          <c:tx>
            <c:strRef>
              <c:f>Москва!$AE$23</c:f>
              <c:strCache>
                <c:ptCount val="1"/>
                <c:pt idx="0">
                  <c:v>Крупный отсев (15 мм)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Москва!$AF$23:$AM$23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A473-42F6-BD1D-CC813B13F90C}"/>
            </c:ext>
          </c:extLst>
        </c:ser>
        <c:ser>
          <c:idx val="7"/>
          <c:order val="3"/>
          <c:tx>
            <c:strRef>
              <c:f>Москва!$AE$17</c:f>
              <c:strCache>
                <c:ptCount val="1"/>
                <c:pt idx="0">
                  <c:v>Кости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Москва!$AF$17:$AM$17</c:f>
              <c:numCache>
                <c:formatCode>0.00</c:formatCode>
                <c:ptCount val="8"/>
                <c:pt idx="0">
                  <c:v>0.4998554634166667</c:v>
                </c:pt>
                <c:pt idx="1">
                  <c:v>0.45986702634333332</c:v>
                </c:pt>
                <c:pt idx="2">
                  <c:v>9.9971092683333346E-2</c:v>
                </c:pt>
                <c:pt idx="3">
                  <c:v>0.25992484097666668</c:v>
                </c:pt>
                <c:pt idx="4">
                  <c:v>0.21993640390333336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A473-42F6-BD1D-CC813B13F90C}"/>
            </c:ext>
          </c:extLst>
        </c:ser>
        <c:ser>
          <c:idx val="2"/>
          <c:order val="4"/>
          <c:tx>
            <c:strRef>
              <c:f>Москва!$AE$12</c:f>
              <c:strCache>
                <c:ptCount val="1"/>
                <c:pt idx="0">
                  <c:v>Металлы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Москва!$AF$12:$AM$12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A473-42F6-BD1D-CC813B13F90C}"/>
            </c:ext>
          </c:extLst>
        </c:ser>
        <c:ser>
          <c:idx val="3"/>
          <c:order val="5"/>
          <c:tx>
            <c:strRef>
              <c:f>Москва!$AE$13</c:f>
              <c:strCache>
                <c:ptCount val="1"/>
                <c:pt idx="0">
                  <c:v>Стекло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Москва!$AF$13:$AM$13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A473-42F6-BD1D-CC813B13F90C}"/>
            </c:ext>
          </c:extLst>
        </c:ser>
        <c:ser>
          <c:idx val="10"/>
          <c:order val="6"/>
          <c:tx>
            <c:strRef>
              <c:f>Москва!$AE$20</c:f>
              <c:strCache>
                <c:ptCount val="1"/>
                <c:pt idx="0">
                  <c:v>Камни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Москва!$AF$20:$AM$20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A473-42F6-BD1D-CC813B13F90C}"/>
            </c:ext>
          </c:extLst>
        </c:ser>
        <c:ser>
          <c:idx val="14"/>
          <c:order val="7"/>
          <c:tx>
            <c:strRef>
              <c:f>Москва!$AE$24</c:f>
              <c:strCache>
                <c:ptCount val="1"/>
                <c:pt idx="0">
                  <c:v>Гигиенич. Средства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Москва!$AF$24:$AM$24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A473-42F6-BD1D-CC813B13F90C}"/>
            </c:ext>
          </c:extLst>
        </c:ser>
        <c:ser>
          <c:idx val="6"/>
          <c:order val="8"/>
          <c:tx>
            <c:strRef>
              <c:f>Москва!$AE$16</c:f>
              <c:strCache>
                <c:ptCount val="1"/>
                <c:pt idx="0">
                  <c:v>Инертные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Москва!$AF$16:$AM$16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A473-42F6-BD1D-CC813B13F90C}"/>
            </c:ext>
          </c:extLst>
        </c:ser>
        <c:ser>
          <c:idx val="11"/>
          <c:order val="9"/>
          <c:tx>
            <c:strRef>
              <c:f>Москва!$AE$21</c:f>
              <c:strCache>
                <c:ptCount val="1"/>
                <c:pt idx="0">
                  <c:v>Уголь, шлаки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Москва!$AF$21:$AM$21</c:f>
              <c:numCache>
                <c:formatCode>0.00</c:formatCode>
                <c:ptCount val="8"/>
                <c:pt idx="0">
                  <c:v>0.40585499470000003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9-A473-42F6-BD1D-CC813B13F90C}"/>
            </c:ext>
          </c:extLst>
        </c:ser>
        <c:ser>
          <c:idx val="5"/>
          <c:order val="10"/>
          <c:tx>
            <c:strRef>
              <c:f>Москва!$AE$15</c:f>
              <c:strCache>
                <c:ptCount val="1"/>
                <c:pt idx="0">
                  <c:v>Текстиль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Москва!$AF$15:$AM$15</c:f>
              <c:numCache>
                <c:formatCode>0.00</c:formatCode>
                <c:ptCount val="8"/>
                <c:pt idx="0">
                  <c:v>0.78190020452499998</c:v>
                </c:pt>
                <c:pt idx="1">
                  <c:v>1.0188396604416665</c:v>
                </c:pt>
                <c:pt idx="2">
                  <c:v>0.23693945591666665</c:v>
                </c:pt>
                <c:pt idx="3">
                  <c:v>0.80559415011666657</c:v>
                </c:pt>
                <c:pt idx="4">
                  <c:v>1.0899214972166664</c:v>
                </c:pt>
                <c:pt idx="5">
                  <c:v>1.2794730619499999</c:v>
                </c:pt>
                <c:pt idx="6">
                  <c:v>0.37910312946666663</c:v>
                </c:pt>
                <c:pt idx="7">
                  <c:v>0.85298204129999999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473-42F6-BD1D-CC813B13F90C}"/>
            </c:ext>
          </c:extLst>
        </c:ser>
        <c:ser>
          <c:idx val="8"/>
          <c:order val="11"/>
          <c:tx>
            <c:strRef>
              <c:f>Москва!$AE$18</c:f>
              <c:strCache>
                <c:ptCount val="1"/>
                <c:pt idx="0">
                  <c:v>Дерево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Москва!$AF$18:$AM$18</c:f>
              <c:numCache>
                <c:formatCode>0.00</c:formatCode>
                <c:ptCount val="8"/>
                <c:pt idx="0">
                  <c:v>1.4407852311849998</c:v>
                </c:pt>
                <c:pt idx="1">
                  <c:v>1.4204924814500002</c:v>
                </c:pt>
                <c:pt idx="2">
                  <c:v>0.24351299681999999</c:v>
                </c:pt>
                <c:pt idx="3">
                  <c:v>0.40585499470000003</c:v>
                </c:pt>
                <c:pt idx="4">
                  <c:v>0.48702599363999999</c:v>
                </c:pt>
                <c:pt idx="5">
                  <c:v>0.38556224496500002</c:v>
                </c:pt>
                <c:pt idx="6">
                  <c:v>0.18263474761500004</c:v>
                </c:pt>
                <c:pt idx="7">
                  <c:v>0.34497674549499996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B-A473-42F6-BD1D-CC813B13F90C}"/>
            </c:ext>
          </c:extLst>
        </c:ser>
        <c:ser>
          <c:idx val="9"/>
          <c:order val="12"/>
          <c:tx>
            <c:strRef>
              <c:f>Москва!$AE$19</c:f>
              <c:strCache>
                <c:ptCount val="1"/>
                <c:pt idx="0">
                  <c:v>Кожа, резина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Москва!$AF$19:$AM$19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0.21283507163999996</c:v>
                </c:pt>
                <c:pt idx="3">
                  <c:v>0.56756019103999999</c:v>
                </c:pt>
                <c:pt idx="4">
                  <c:v>0.78039526268000003</c:v>
                </c:pt>
                <c:pt idx="5">
                  <c:v>0.17736255969999998</c:v>
                </c:pt>
                <c:pt idx="6">
                  <c:v>0.28378009552</c:v>
                </c:pt>
                <c:pt idx="7">
                  <c:v>0.24830758357999996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A473-42F6-BD1D-CC813B13F90C}"/>
            </c:ext>
          </c:extLst>
        </c:ser>
        <c:ser>
          <c:idx val="4"/>
          <c:order val="13"/>
          <c:tx>
            <c:strRef>
              <c:f>Москва!$AE$14</c:f>
              <c:strCache>
                <c:ptCount val="1"/>
                <c:pt idx="0">
                  <c:v>Полимерные материалы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Москва!$AF$14:$AM$14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0.29385980573000003</c:v>
                </c:pt>
                <c:pt idx="4">
                  <c:v>0.58771961146000007</c:v>
                </c:pt>
                <c:pt idx="5">
                  <c:v>0</c:v>
                </c:pt>
                <c:pt idx="6">
                  <c:v>5.2160115517074992</c:v>
                </c:pt>
                <c:pt idx="7">
                  <c:v>5.9506610660324997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D-A473-42F6-BD1D-CC813B13F90C}"/>
            </c:ext>
          </c:extLst>
        </c:ser>
        <c:ser>
          <c:idx val="16"/>
          <c:order val="14"/>
          <c:tx>
            <c:strRef>
              <c:f>Москва!$AE$26</c:f>
              <c:strCache>
                <c:ptCount val="1"/>
                <c:pt idx="0">
                  <c:v>Композиционная упаковка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Москва!$AF$26:$AM$26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4.4446295616662503</c:v>
                </c:pt>
                <c:pt idx="7">
                  <c:v>0.91831189290625004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E-A473-42F6-BD1D-CC813B13F90C}"/>
            </c:ext>
          </c:extLst>
        </c:ser>
        <c:ser>
          <c:idx val="1"/>
          <c:order val="15"/>
          <c:tx>
            <c:strRef>
              <c:f>Москва!$AE$11</c:f>
              <c:strCache>
                <c:ptCount val="1"/>
                <c:pt idx="0">
                  <c:v>Бумага и картон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Москва!$AF$11:$AM$11</c:f>
              <c:numCache>
                <c:formatCode>0.00</c:formatCode>
                <c:ptCount val="8"/>
                <c:pt idx="0">
                  <c:v>3.1785949771125006</c:v>
                </c:pt>
                <c:pt idx="1">
                  <c:v>3.2171234010775005</c:v>
                </c:pt>
                <c:pt idx="2">
                  <c:v>3.1593307651300004</c:v>
                </c:pt>
                <c:pt idx="3">
                  <c:v>7.0121731616300007</c:v>
                </c:pt>
                <c:pt idx="4">
                  <c:v>6.5498320740500011</c:v>
                </c:pt>
                <c:pt idx="5">
                  <c:v>7.2626079174025016</c:v>
                </c:pt>
                <c:pt idx="6">
                  <c:v>3.7950497605525011</c:v>
                </c:pt>
                <c:pt idx="7">
                  <c:v>4.6812035117475013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F-A473-42F6-BD1D-CC813B13F90C}"/>
            </c:ext>
          </c:extLst>
        </c:ser>
        <c:ser>
          <c:idx val="0"/>
          <c:order val="16"/>
          <c:tx>
            <c:strRef>
              <c:f>Москва!$AE$10</c:f>
              <c:strCache>
                <c:ptCount val="1"/>
                <c:pt idx="0">
                  <c:v>Пищевые отходы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Москва!$AF$10:$AM$10</c:f>
              <c:numCache>
                <c:formatCode>0.00</c:formatCode>
                <c:ptCount val="8"/>
                <c:pt idx="0">
                  <c:v>3.9988437073333336</c:v>
                </c:pt>
                <c:pt idx="1">
                  <c:v>4.4387165151400003</c:v>
                </c:pt>
                <c:pt idx="2">
                  <c:v>6.258190401976667</c:v>
                </c:pt>
                <c:pt idx="3">
                  <c:v>7.3578724214933331</c:v>
                </c:pt>
                <c:pt idx="4">
                  <c:v>6.6180863356366668</c:v>
                </c:pt>
                <c:pt idx="5">
                  <c:v>6.1182308722200016</c:v>
                </c:pt>
                <c:pt idx="6">
                  <c:v>3.5989593366000001</c:v>
                </c:pt>
                <c:pt idx="7">
                  <c:v>4.9385719785566673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0-A473-42F6-BD1D-CC813B13F9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7364096"/>
        <c:axId val="57610240"/>
      </c:barChart>
      <c:catAx>
        <c:axId val="15736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610240"/>
        <c:crosses val="autoZero"/>
        <c:auto val="1"/>
        <c:lblAlgn val="ctr"/>
        <c:lblOffset val="100"/>
        <c:noMultiLvlLbl val="0"/>
      </c:catAx>
      <c:valAx>
        <c:axId val="57610240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Эксергия ТКО (МДж/кг)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364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5"/>
        <c:delete val="1"/>
      </c:legendEntry>
      <c:layout>
        <c:manualLayout>
          <c:xMode val="edge"/>
          <c:yMode val="edge"/>
          <c:x val="0.62942735931593452"/>
          <c:y val="3.4282529752274176E-3"/>
          <c:w val="0.34541540797966291"/>
          <c:h val="0.967595728616114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stacked"/>
        <c:varyColors val="0"/>
        <c:ser>
          <c:idx val="13"/>
          <c:order val="0"/>
          <c:tx>
            <c:strRef>
              <c:f>СПб!$AE$23</c:f>
              <c:strCache>
                <c:ptCount val="1"/>
                <c:pt idx="0">
                  <c:v>Отсев мелкий (3 мм)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СПб!$AF$23:$AN$23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140-4CE2-B71A-85FA9DEFFB76}"/>
            </c:ext>
          </c:extLst>
        </c:ser>
        <c:ser>
          <c:idx val="14"/>
          <c:order val="1"/>
          <c:tx>
            <c:strRef>
              <c:f>СПб!$AE$24</c:f>
              <c:strCache>
                <c:ptCount val="1"/>
                <c:pt idx="0">
                  <c:v>Отсев крупный (15 мм)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СПб!$AF$24:$AN$24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140-4CE2-B71A-85FA9DEFFB76}"/>
            </c:ext>
          </c:extLst>
        </c:ser>
        <c:ser>
          <c:idx val="12"/>
          <c:order val="2"/>
          <c:tx>
            <c:strRef>
              <c:f>СПб!$AE$22</c:f>
              <c:strCache>
                <c:ptCount val="1"/>
                <c:pt idx="0">
                  <c:v>Камни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СПб!$AF$22:$AN$22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2140-4CE2-B71A-85FA9DEFFB76}"/>
            </c:ext>
          </c:extLst>
        </c:ser>
        <c:ser>
          <c:idx val="2"/>
          <c:order val="3"/>
          <c:tx>
            <c:strRef>
              <c:f>СПб!$AE$12</c:f>
              <c:strCache>
                <c:ptCount val="1"/>
                <c:pt idx="0">
                  <c:v>Металлы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СПб!$AF$12:$AN$12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2140-4CE2-B71A-85FA9DEFFB76}"/>
            </c:ext>
          </c:extLst>
        </c:ser>
        <c:ser>
          <c:idx val="3"/>
          <c:order val="4"/>
          <c:tx>
            <c:strRef>
              <c:f>СПб!$AE$13</c:f>
              <c:strCache>
                <c:ptCount val="1"/>
                <c:pt idx="0">
                  <c:v>Стекло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СПб!$AF$13:$AN$13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2140-4CE2-B71A-85FA9DEFFB76}"/>
            </c:ext>
          </c:extLst>
        </c:ser>
        <c:ser>
          <c:idx val="7"/>
          <c:order val="5"/>
          <c:tx>
            <c:strRef>
              <c:f>СПб!$AE$17</c:f>
              <c:strCache>
                <c:ptCount val="1"/>
                <c:pt idx="0">
                  <c:v>Кости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СПб!$AF$17:$AN$17</c:f>
              <c:numCache>
                <c:formatCode>0.000</c:formatCode>
                <c:ptCount val="9"/>
                <c:pt idx="0">
                  <c:v>0.43987280780666671</c:v>
                </c:pt>
                <c:pt idx="1">
                  <c:v>0.81976296000333337</c:v>
                </c:pt>
                <c:pt idx="2">
                  <c:v>0.73978608585666672</c:v>
                </c:pt>
                <c:pt idx="3">
                  <c:v>0.41987858927000005</c:v>
                </c:pt>
                <c:pt idx="4">
                  <c:v>0.45986702634333332</c:v>
                </c:pt>
                <c:pt idx="5">
                  <c:v>0.15995374829333336</c:v>
                </c:pt>
                <c:pt idx="6">
                  <c:v>7.9976874146666682E-2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2140-4CE2-B71A-85FA9DEFFB76}"/>
            </c:ext>
          </c:extLst>
        </c:ser>
        <c:ser>
          <c:idx val="10"/>
          <c:order val="6"/>
          <c:tx>
            <c:strRef>
              <c:f>СПб!$AE$20</c:f>
              <c:strCache>
                <c:ptCount val="1"/>
                <c:pt idx="0">
                  <c:v>Прочие материалы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СПб!$AF$20:$AN$20</c:f>
              <c:numCache>
                <c:formatCode>0.000</c:formatCode>
                <c:ptCount val="9"/>
                <c:pt idx="0">
                  <c:v>0</c:v>
                </c:pt>
                <c:pt idx="1">
                  <c:v>0.51457600000000003</c:v>
                </c:pt>
                <c:pt idx="2">
                  <c:v>0.41809299999999999</c:v>
                </c:pt>
                <c:pt idx="3">
                  <c:v>0.96483000000000008</c:v>
                </c:pt>
                <c:pt idx="4">
                  <c:v>1.7045330000000001</c:v>
                </c:pt>
                <c:pt idx="5">
                  <c:v>0.45025399999999999</c:v>
                </c:pt>
                <c:pt idx="6">
                  <c:v>0.96483000000000008</c:v>
                </c:pt>
                <c:pt idx="7">
                  <c:v>2.3799140000000003</c:v>
                </c:pt>
                <c:pt idx="8">
                  <c:v>0.90050799999999998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2140-4CE2-B71A-85FA9DEFFB76}"/>
            </c:ext>
          </c:extLst>
        </c:ser>
        <c:ser>
          <c:idx val="11"/>
          <c:order val="7"/>
          <c:tx>
            <c:strRef>
              <c:f>СПб!$AE$21</c:f>
              <c:strCache>
                <c:ptCount val="1"/>
                <c:pt idx="0">
                  <c:v>Уголь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СПб!$AF$21:$AN$21</c:f>
              <c:numCache>
                <c:formatCode>0.000</c:formatCode>
                <c:ptCount val="9"/>
                <c:pt idx="0">
                  <c:v>0.34497674549499996</c:v>
                </c:pt>
                <c:pt idx="1">
                  <c:v>6.0878249204999998E-2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2140-4CE2-B71A-85FA9DEFFB76}"/>
            </c:ext>
          </c:extLst>
        </c:ser>
        <c:ser>
          <c:idx val="5"/>
          <c:order val="8"/>
          <c:tx>
            <c:strRef>
              <c:f>СПб!$AE$15</c:f>
              <c:strCache>
                <c:ptCount val="1"/>
                <c:pt idx="0">
                  <c:v>Текстиль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СПб!$AF$15:$AN$15</c:f>
              <c:numCache>
                <c:formatCode>0.000</c:formatCode>
                <c:ptCount val="9"/>
                <c:pt idx="0">
                  <c:v>1.0188396604416665</c:v>
                </c:pt>
                <c:pt idx="1">
                  <c:v>1.0425336060333334</c:v>
                </c:pt>
                <c:pt idx="2">
                  <c:v>0.82928809570833328</c:v>
                </c:pt>
                <c:pt idx="3">
                  <c:v>1.0425336060333334</c:v>
                </c:pt>
                <c:pt idx="4">
                  <c:v>1.8244338105583333</c:v>
                </c:pt>
                <c:pt idx="5">
                  <c:v>0.66343047656666654</c:v>
                </c:pt>
                <c:pt idx="6">
                  <c:v>0.82928809570833328</c:v>
                </c:pt>
                <c:pt idx="7">
                  <c:v>0.71081836774999996</c:v>
                </c:pt>
                <c:pt idx="8">
                  <c:v>0.30802129269166667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2140-4CE2-B71A-85FA9DEFFB76}"/>
            </c:ext>
          </c:extLst>
        </c:ser>
        <c:ser>
          <c:idx val="8"/>
          <c:order val="9"/>
          <c:tx>
            <c:strRef>
              <c:f>СПб!$AE$18</c:f>
              <c:strCache>
                <c:ptCount val="1"/>
                <c:pt idx="0">
                  <c:v>Дерево+ садово-парковые отходы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СПб!$AF$18:$AN$18</c:f>
              <c:numCache>
                <c:formatCode>0.000</c:formatCode>
                <c:ptCount val="9"/>
                <c:pt idx="0">
                  <c:v>1.66400547827</c:v>
                </c:pt>
                <c:pt idx="1">
                  <c:v>0.89288098834000007</c:v>
                </c:pt>
                <c:pt idx="2">
                  <c:v>0.40585499470000003</c:v>
                </c:pt>
                <c:pt idx="3">
                  <c:v>0.79141723966499999</c:v>
                </c:pt>
                <c:pt idx="4">
                  <c:v>1.05522298622</c:v>
                </c:pt>
                <c:pt idx="5">
                  <c:v>0.34497674549499996</c:v>
                </c:pt>
                <c:pt idx="6">
                  <c:v>1.0146374867500001</c:v>
                </c:pt>
                <c:pt idx="7">
                  <c:v>0</c:v>
                </c:pt>
                <c:pt idx="8">
                  <c:v>0.50731874337500005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9-2140-4CE2-B71A-85FA9DEFFB76}"/>
            </c:ext>
          </c:extLst>
        </c:ser>
        <c:ser>
          <c:idx val="9"/>
          <c:order val="10"/>
          <c:tx>
            <c:strRef>
              <c:f>СПб!$AE$19</c:f>
              <c:strCache>
                <c:ptCount val="1"/>
                <c:pt idx="0">
                  <c:v>Кожа, резина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СПб!$AF$19:$AN$19</c:f>
              <c:numCache>
                <c:formatCode>0.000</c:formatCode>
                <c:ptCount val="9"/>
                <c:pt idx="0">
                  <c:v>0.17736255969999998</c:v>
                </c:pt>
                <c:pt idx="1">
                  <c:v>0.28378009552</c:v>
                </c:pt>
                <c:pt idx="2">
                  <c:v>0.46114265521999998</c:v>
                </c:pt>
                <c:pt idx="3">
                  <c:v>0.56756019103999999</c:v>
                </c:pt>
                <c:pt idx="4">
                  <c:v>1.4898455014799998</c:v>
                </c:pt>
                <c:pt idx="5">
                  <c:v>1.7026805731199997</c:v>
                </c:pt>
                <c:pt idx="6">
                  <c:v>0.63850521492000001</c:v>
                </c:pt>
                <c:pt idx="7">
                  <c:v>0.70945023879999991</c:v>
                </c:pt>
                <c:pt idx="8">
                  <c:v>1.0641753581999998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2140-4CE2-B71A-85FA9DEFFB76}"/>
            </c:ext>
          </c:extLst>
        </c:ser>
        <c:ser>
          <c:idx val="4"/>
          <c:order val="11"/>
          <c:tx>
            <c:strRef>
              <c:f>СПб!$AE$14</c:f>
              <c:strCache>
                <c:ptCount val="1"/>
                <c:pt idx="0">
                  <c:v>Полимерные материалы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СПб!$AF$14:$AN$14</c:f>
              <c:numCache>
                <c:formatCode>0.000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0.36732475716250002</c:v>
                </c:pt>
                <c:pt idx="3">
                  <c:v>0.29385980573000003</c:v>
                </c:pt>
                <c:pt idx="4">
                  <c:v>0</c:v>
                </c:pt>
                <c:pt idx="5">
                  <c:v>2.2406810186912498</c:v>
                </c:pt>
                <c:pt idx="6">
                  <c:v>4.4078970859500002</c:v>
                </c:pt>
                <c:pt idx="7">
                  <c:v>6.464915726060001</c:v>
                </c:pt>
                <c:pt idx="8">
                  <c:v>5.5833363088699999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B-2140-4CE2-B71A-85FA9DEFFB76}"/>
            </c:ext>
          </c:extLst>
        </c:ser>
        <c:ser>
          <c:idx val="1"/>
          <c:order val="12"/>
          <c:tx>
            <c:strRef>
              <c:f>СПб!$AE$11</c:f>
              <c:strCache>
                <c:ptCount val="1"/>
                <c:pt idx="0">
                  <c:v>Бумага и картон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СПб!$AF$11:$AN$11</c:f>
              <c:numCache>
                <c:formatCode>0.000</c:formatCode>
                <c:ptCount val="9"/>
                <c:pt idx="0">
                  <c:v>1.7337790784250005</c:v>
                </c:pt>
                <c:pt idx="1">
                  <c:v>2.5428759816900004</c:v>
                </c:pt>
                <c:pt idx="2">
                  <c:v>4.6812035117475013</c:v>
                </c:pt>
                <c:pt idx="3">
                  <c:v>5.7792635947500015</c:v>
                </c:pt>
                <c:pt idx="4">
                  <c:v>4.3344476960625009</c:v>
                </c:pt>
                <c:pt idx="5">
                  <c:v>3.8335781845175005</c:v>
                </c:pt>
                <c:pt idx="6">
                  <c:v>4.0454845163250006</c:v>
                </c:pt>
                <c:pt idx="7">
                  <c:v>3.8721066084825013</c:v>
                </c:pt>
                <c:pt idx="8">
                  <c:v>4.141805576237501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2140-4CE2-B71A-85FA9DEFFB76}"/>
            </c:ext>
          </c:extLst>
        </c:ser>
        <c:ser>
          <c:idx val="0"/>
          <c:order val="13"/>
          <c:tx>
            <c:strRef>
              <c:f>СПб!$AE$10</c:f>
              <c:strCache>
                <c:ptCount val="1"/>
                <c:pt idx="0">
                  <c:v>Пищевые отходы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СПб!$AF$10:$AN$10</c:f>
              <c:numCache>
                <c:formatCode>0.000</c:formatCode>
                <c:ptCount val="9"/>
                <c:pt idx="0">
                  <c:v>2.7991905951333336</c:v>
                </c:pt>
                <c:pt idx="1">
                  <c:v>3.6389477736733333</c:v>
                </c:pt>
                <c:pt idx="2">
                  <c:v>6.3381672761233334</c:v>
                </c:pt>
                <c:pt idx="3">
                  <c:v>5.6183754088033346</c:v>
                </c:pt>
                <c:pt idx="4">
                  <c:v>4.6586529190433339</c:v>
                </c:pt>
                <c:pt idx="5">
                  <c:v>7.3978608585666681</c:v>
                </c:pt>
                <c:pt idx="6">
                  <c:v>5.3984390049000002</c:v>
                </c:pt>
                <c:pt idx="7">
                  <c:v>5.1185199453866677</c:v>
                </c:pt>
                <c:pt idx="8">
                  <c:v>5.4784158790466666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D-2140-4CE2-B71A-85FA9DEFFB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8639136"/>
        <c:axId val="388639696"/>
      </c:barChart>
      <c:catAx>
        <c:axId val="38863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8639696"/>
        <c:crosses val="autoZero"/>
        <c:auto val="1"/>
        <c:lblAlgn val="ctr"/>
        <c:lblOffset val="100"/>
        <c:noMultiLvlLbl val="0"/>
      </c:catAx>
      <c:valAx>
        <c:axId val="38863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Эксергия</a:t>
                </a:r>
                <a:r>
                  <a:rPr lang="ru-RU" baseline="0"/>
                  <a:t> ТКО (МДж/кг)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863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ayout>
        <c:manualLayout>
          <c:xMode val="edge"/>
          <c:yMode val="edge"/>
          <c:x val="0.67103065387854566"/>
          <c:y val="2.3871902375839374E-2"/>
          <c:w val="0.30273898005739935"/>
          <c:h val="0.97612819847837318"/>
        </c:manualLayout>
      </c:layout>
      <c:overlay val="0"/>
      <c:txPr>
        <a:bodyPr rot="0" vert="horz"/>
        <a:lstStyle/>
        <a:p>
          <a:pPr>
            <a:defRPr/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FAC01-985E-4F47-938D-F41B2B99A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8</Pages>
  <Words>2159</Words>
  <Characters>12311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lyuda</dc:creator>
  <cp:lastModifiedBy>Alex</cp:lastModifiedBy>
  <cp:revision>12</cp:revision>
  <dcterms:created xsi:type="dcterms:W3CDTF">2020-10-10T19:04:00Z</dcterms:created>
  <dcterms:modified xsi:type="dcterms:W3CDTF">2020-10-13T00:01:00Z</dcterms:modified>
</cp:coreProperties>
</file>