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444444"/>
          <w:sz w:val="32"/>
          <w:szCs w:val="32"/>
          <w:rtl w:val="0"/>
        </w:rPr>
        <w:t xml:space="preserve">Regime-Aware Quantitative Trading System</w:t>
      </w:r>
      <w:r w:rsidDel="00000000" w:rsidR="00000000" w:rsidRPr="00000000">
        <w:rPr>
          <w:rtl w:val="0"/>
        </w:rPr>
      </w:r>
    </w:p>
    <w:p w:rsidR="00000000" w:rsidDel="00000000" w:rsidP="00000000" w:rsidRDefault="00000000" w:rsidRPr="00000000" w14:paraId="00000003">
      <w:pPr>
        <w:pBdr>
          <w:bottom w:color="1a3c5e" w:space="8" w:sz="6" w:val="single"/>
        </w:pBdr>
        <w:spacing w:after="60" w:lineRule="auto"/>
        <w:jc w:val="center"/>
        <w:rPr/>
      </w:pPr>
      <w:r w:rsidDel="00000000" w:rsidR="00000000" w:rsidRPr="00000000">
        <w:rPr>
          <w:i w:val="1"/>
          <w:iCs w:val="1"/>
          <w:color w:val="666666"/>
          <w:sz w:val="24"/>
          <w:szCs w:val="24"/>
          <w:rtl w:val="0"/>
        </w:rPr>
        <w:t xml:space="preserve">Technical </w:t>
      </w:r>
      <w:r w:rsidDel="00000000" w:rsidR="00000000" w:rsidRPr="00000000">
        <w:rPr>
          <w:rFonts w:ascii="Arial" w:cs="Arial" w:eastAsia="Arial" w:hAnsi="Arial"/>
          <w:i w:val="1"/>
          <w:iCs w:val="1"/>
          <w:color w:val="666666"/>
          <w:sz w:val="24"/>
          <w:szCs w:val="24"/>
          <w:rtl w:val="0"/>
        </w:rPr>
        <w:t xml:space="preserve">Report</w:t>
      </w:r>
      <w:r w:rsidDel="00000000" w:rsidR="00000000" w:rsidRPr="00000000">
        <w:rPr>
          <w:rtl w:val="0"/>
        </w:rPr>
      </w:r>
    </w:p>
    <w:p w:rsidR="00000000" w:rsidDel="00000000" w:rsidP="00000000" w:rsidRDefault="00000000" w:rsidRPr="00000000" w14:paraId="00000004">
      <w:pPr>
        <w:pStyle w:val="Heading1"/>
        <w:pBdr>
          <w:bottom w:color="1a3c5e" w:space="6" w:sz="4" w:val="single"/>
        </w:pBdr>
        <w:spacing w:after="120" w:before="360" w:lineRule="auto"/>
        <w:rPr/>
      </w:pPr>
      <w:r w:rsidDel="00000000" w:rsidR="00000000" w:rsidRPr="00000000">
        <w:rPr>
          <w:rtl w:val="0"/>
        </w:rPr>
      </w:r>
    </w:p>
    <w:p w:rsidR="00000000" w:rsidDel="00000000" w:rsidP="00000000" w:rsidRDefault="00000000" w:rsidRPr="00000000" w14:paraId="00000005">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Abstract</w:t>
      </w:r>
      <w:r w:rsidDel="00000000" w:rsidR="00000000" w:rsidRPr="00000000">
        <w:rPr>
          <w:rtl w:val="0"/>
        </w:rPr>
      </w:r>
    </w:p>
    <w:p w:rsidR="00000000" w:rsidDel="00000000" w:rsidP="00000000" w:rsidRDefault="00000000" w:rsidRPr="00000000" w14:paraId="00000006">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This report describes a production-grade quantitative equity trading system built for the Nifty 500 universe. The system integrates a multi-factor alpha model, hidden Markov model (HMM) regime detection, risk-constrained portfolio optimisation, and a realistic event-driven backtesting engine. Across a 13-year backtest period (2012–2025), the strategy achieves a Sharpe ratio above 2.5, a compound annual growth rate of approximately 8–9%, and a maximum drawdown contained below 8%, all after applying a 20 basis-point round-trip transaction cost assumption. The system is delivered alongside a live Streamlit dashboard that allows interactive strategy configuration, performance monitoring, and risk analytics.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1. Introduction</w:t>
      </w:r>
      <w:r w:rsidDel="00000000" w:rsidR="00000000" w:rsidRPr="00000000">
        <w:rPr>
          <w:rtl w:val="0"/>
        </w:rPr>
      </w:r>
    </w:p>
    <w:p w:rsidR="00000000" w:rsidDel="00000000" w:rsidP="00000000" w:rsidRDefault="00000000" w:rsidRPr="00000000" w14:paraId="00000009">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Generating consistent, risk-adjusted alpha in equity markets is an inherently difficult problem. Signals degrade as they become widely known, market regimes shift between trending and mean-reverting states, and realistic transaction costs erode much of the theoretical edge that naive backtests suggest. This project set out to build a system that takes these challenges seriously rather than sidestepping them.</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p w:rsidR="00000000" w:rsidDel="00000000" w:rsidP="00000000" w:rsidRDefault="00000000" w:rsidRPr="00000000" w14:paraId="0000000B">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design goal was a market-neutral long-short equity strategy on the Nifty 500 that could survive regime shifts, model realistic costs, and remain interpretable at every stage of the pipeline. Rather than reaching for a single complex model, we structured the system as a modular pipeline in which each stage has a clear purpose and can be examined independently. The architecture consists of six functional layers: data ingestion and quality control, factor computation, alpha decay analysis, regime detection, portfolio optimisation, and backtesting. A seventh layer, the dashboard, provides a runtime interface over all of these.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2. Data Pipeline</w:t>
      </w:r>
      <w:r w:rsidDel="00000000" w:rsidR="00000000" w:rsidRPr="00000000">
        <w:rPr>
          <w:rtl w:val="0"/>
        </w:rPr>
      </w:r>
    </w:p>
    <w:p w:rsidR="00000000" w:rsidDel="00000000" w:rsidP="00000000" w:rsidRDefault="00000000" w:rsidRPr="00000000" w14:paraId="0000000E">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2.1 Universe and Sourcing</w:t>
      </w:r>
      <w:r w:rsidDel="00000000" w:rsidR="00000000" w:rsidRPr="00000000">
        <w:rPr>
          <w:rtl w:val="0"/>
        </w:rPr>
      </w:r>
    </w:p>
    <w:p w:rsidR="00000000" w:rsidDel="00000000" w:rsidP="00000000" w:rsidRDefault="00000000" w:rsidRPr="00000000" w14:paraId="0000000F">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instrument universe consists of all constituents of the Nifty 500 index, covering large-cap, mid-cap, and small-cap Indian equities. Historical daily OHLCV data was sourced from Yahoo Finance via the yfinance library, spanning January 2012 through January 2026. The dataset was obtained using a custom ingestion notebook (get_dataset.ipynb) that iterates over each ticker, appending the NSE suffix .NS, and writes per-instrument CSV files to a local directory.</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To manage the multi-level column headers that yfinance produces, a post-processing step flattens the DataFrame to a single-level OHLCV schema and names the index column date. Rows where all OHLCV values are missing are dropped. The resulting clean files are written to a separate output directory.</w:t>
      </w:r>
      <w:r w:rsidDel="00000000" w:rsidR="00000000" w:rsidRPr="00000000">
        <w:rPr>
          <w:rtl w:val="0"/>
        </w:rPr>
      </w:r>
    </w:p>
    <w:p w:rsidR="00000000" w:rsidDel="00000000" w:rsidP="00000000" w:rsidRDefault="00000000" w:rsidRPr="00000000" w14:paraId="00000012">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2.2 Classification and Organisation</w:t>
      </w:r>
      <w:r w:rsidDel="00000000" w:rsidR="00000000" w:rsidRPr="00000000">
        <w:rPr>
          <w:rtl w:val="0"/>
        </w:rPr>
      </w:r>
    </w:p>
    <w:p w:rsidR="00000000" w:rsidDel="00000000" w:rsidP="00000000" w:rsidRDefault="00000000" w:rsidRPr="00000000" w14:paraId="00000013">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After cleaning, the dataset is organised along two axes: market capitalisation category (large, mid, small) and GICS sector. Each instrument's sector and size classification is sourced from the yfinance Ticker.info metadata. This structure makes it straightforward to compute cross-sectional features within peer groups and to analyse sector-level exposures in the risk dashboard.</w:t>
      </w:r>
      <w:r w:rsidDel="00000000" w:rsidR="00000000" w:rsidRPr="00000000">
        <w:rPr>
          <w:rtl w:val="0"/>
        </w:rPr>
      </w:r>
    </w:p>
    <w:p w:rsidR="00000000" w:rsidDel="00000000" w:rsidP="00000000" w:rsidRDefault="00000000" w:rsidRPr="00000000" w14:paraId="00000014">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2.3 Quality Controls</w:t>
      </w: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Before any factor is computed, the loaded panel passes through a data quality module that performs several checks. These include detection and interpolation of stale prices (consecutive identical closes), forward-filling of sporadic missing values up to a configurable limit, removal of instruments with insufficient history, and an outlier screen based on rolling z-scores of daily returns. Point-in-time integrity is enforced by construction: all feature computation uses only lagged data, so no future information leaks into any signal.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3. Alpha Research and Signal Generation</w:t>
      </w:r>
      <w:r w:rsidDel="00000000" w:rsidR="00000000" w:rsidRPr="00000000">
        <w:rPr>
          <w:rtl w:val="0"/>
        </w:rPr>
      </w:r>
    </w:p>
    <w:p w:rsidR="00000000" w:rsidDel="00000000" w:rsidP="00000000" w:rsidRDefault="00000000" w:rsidRPr="00000000" w14:paraId="00000018">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3.1 Factor Overview</w:t>
      </w:r>
      <w:r w:rsidDel="00000000" w:rsidR="00000000" w:rsidRPr="00000000">
        <w:rPr>
          <w:rtl w:val="0"/>
        </w:rPr>
      </w:r>
    </w:p>
    <w:p w:rsidR="00000000" w:rsidDel="00000000" w:rsidP="00000000" w:rsidRDefault="00000000" w:rsidRPr="00000000" w14:paraId="00000019">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alpha model combines two well-established cross-sectional factors that have complementary return profiles across market regimes. Both factors are computed on a rolling basis, ranked cross-sectionally at each rebalance date, and combined into a composite signal before entering the portfolio optimiser.</w:t>
      </w: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3.2 Momentum Factor</w:t>
      </w:r>
      <w:r w:rsidDel="00000000" w:rsidR="00000000" w:rsidRPr="00000000">
        <w:rPr>
          <w:rtl w:val="0"/>
        </w:rPr>
      </w:r>
    </w:p>
    <w:p w:rsidR="00000000" w:rsidDel="00000000" w:rsidP="00000000" w:rsidRDefault="00000000" w:rsidRPr="00000000" w14:paraId="0000001B">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momentum signal follows the standard 12-1 construction: cumulative return over the trailing 12 months, excluding the most recent month. Excluding the last month is standard practice to avoid the short-term reversal bias that contaminates raw 12-month momentum. The economic rationale is well-documented — winners tend to continue outperforming over a 3-to-12-month horizon, capturing the delayed diffusion of information across investor types.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signal is computed as:</w:t>
      </w:r>
      <w:r w:rsidDel="00000000" w:rsidR="00000000" w:rsidRPr="00000000">
        <w:rPr>
          <w:rtl w:val="0"/>
        </w:rPr>
      </w:r>
    </w:p>
    <w:p w:rsidR="00000000" w:rsidDel="00000000" w:rsidP="00000000" w:rsidRDefault="00000000" w:rsidRPr="00000000" w14:paraId="0000001E">
      <w:pPr>
        <w:spacing w:after="36" w:lineRule="auto"/>
        <w:rPr/>
      </w:pPr>
      <w:r w:rsidDel="00000000" w:rsidR="00000000" w:rsidRPr="00000000">
        <w:rPr>
          <w:rtl w:val="0"/>
        </w:rPr>
      </w:r>
    </w:p>
    <w:p w:rsidR="00000000" w:rsidDel="00000000" w:rsidP="00000000" w:rsidRDefault="00000000" w:rsidRPr="00000000" w14:paraId="0000001F">
      <w:pPr>
        <w:spacing w:after="80" w:before="80" w:lineRule="auto"/>
        <w:jc w:val="center"/>
        <w:rPr/>
      </w:pPr>
      <w:r w:rsidDel="00000000" w:rsidR="00000000" w:rsidRPr="00000000">
        <w:rPr>
          <w:rFonts w:ascii="Courier New" w:cs="Courier New" w:eastAsia="Courier New" w:hAnsi="Courier New"/>
          <w:color w:val="1a3c5e"/>
          <w:sz w:val="22"/>
          <w:szCs w:val="22"/>
          <w:rtl w:val="0"/>
        </w:rPr>
        <w:t xml:space="preserve">MOM(t) = [Close(t-21) / Close(t-252)] - 1</w:t>
      </w:r>
      <w:r w:rsidDel="00000000" w:rsidR="00000000" w:rsidRPr="00000000">
        <w:rPr>
          <w:rtl w:val="0"/>
        </w:rPr>
      </w:r>
    </w:p>
    <w:p w:rsidR="00000000" w:rsidDel="00000000" w:rsidP="00000000" w:rsidRDefault="00000000" w:rsidRPr="00000000" w14:paraId="00000020">
      <w:pPr>
        <w:spacing w:after="36" w:lineRule="auto"/>
        <w:rPr/>
      </w:pPr>
      <w:r w:rsidDel="00000000" w:rsidR="00000000" w:rsidRPr="00000000">
        <w:rPr>
          <w:rtl w:val="0"/>
        </w:rPr>
      </w:r>
    </w:p>
    <w:p w:rsidR="00000000" w:rsidDel="00000000" w:rsidP="00000000" w:rsidRDefault="00000000" w:rsidRPr="00000000" w14:paraId="0000002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where t is expressed in trading days. Stocks are then ranked by their momentum score within the universe at each monthly rebalance.</w:t>
      </w:r>
      <w:r w:rsidDel="00000000" w:rsidR="00000000" w:rsidRPr="00000000">
        <w:rPr>
          <w:rtl w:val="0"/>
        </w:rPr>
      </w:r>
    </w:p>
    <w:p w:rsidR="00000000" w:rsidDel="00000000" w:rsidP="00000000" w:rsidRDefault="00000000" w:rsidRPr="00000000" w14:paraId="00000022">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3.3 Short-Term Reversal Factor</w:t>
      </w:r>
      <w:r w:rsidDel="00000000" w:rsidR="00000000" w:rsidRPr="00000000">
        <w:rPr>
          <w:rtl w:val="0"/>
        </w:rPr>
      </w:r>
    </w:p>
    <w:p w:rsidR="00000000" w:rsidDel="00000000" w:rsidP="00000000" w:rsidRDefault="00000000" w:rsidRPr="00000000" w14:paraId="00000023">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reversal signal captures mean reversion over a one-month horizon. A simple 21-day return is insufficient here because not all reversals are equally reliable — reversals that follow high-volume selloffs tend to be sharper and faster than those following low-volume declines. The signal is therefore weighted by abnormal volume, defined as the ratio of current 5-day average volume to the trailing 63-day average:</w:t>
      </w:r>
      <w:r w:rsidDel="00000000" w:rsidR="00000000" w:rsidRPr="00000000">
        <w:rPr>
          <w:rtl w:val="0"/>
        </w:rPr>
      </w:r>
    </w:p>
    <w:p w:rsidR="00000000" w:rsidDel="00000000" w:rsidP="00000000" w:rsidRDefault="00000000" w:rsidRPr="00000000" w14:paraId="00000024">
      <w:pPr>
        <w:spacing w:after="36" w:lineRule="auto"/>
        <w:rPr/>
      </w:pPr>
      <w:r w:rsidDel="00000000" w:rsidR="00000000" w:rsidRPr="00000000">
        <w:rPr>
          <w:rtl w:val="0"/>
        </w:rPr>
      </w:r>
    </w:p>
    <w:p w:rsidR="00000000" w:rsidDel="00000000" w:rsidP="00000000" w:rsidRDefault="00000000" w:rsidRPr="00000000" w14:paraId="00000025">
      <w:pPr>
        <w:spacing w:after="80" w:before="80" w:lineRule="auto"/>
        <w:jc w:val="center"/>
        <w:rPr/>
      </w:pPr>
      <w:r w:rsidDel="00000000" w:rsidR="00000000" w:rsidRPr="00000000">
        <w:rPr>
          <w:rFonts w:ascii="Courier New" w:cs="Courier New" w:eastAsia="Courier New" w:hAnsi="Courier New"/>
          <w:color w:val="1a3c5e"/>
          <w:sz w:val="22"/>
          <w:szCs w:val="22"/>
          <w:rtl w:val="0"/>
        </w:rPr>
        <w:t xml:space="preserve">REV(t) = -1 x R(t-21,t) x [Vol_5d / Vol_63d]</w:t>
      </w:r>
      <w:r w:rsidDel="00000000" w:rsidR="00000000" w:rsidRPr="00000000">
        <w:rPr>
          <w:rtl w:val="0"/>
        </w:rPr>
      </w:r>
    </w:p>
    <w:p w:rsidR="00000000" w:rsidDel="00000000" w:rsidP="00000000" w:rsidRDefault="00000000" w:rsidRPr="00000000" w14:paraId="00000026">
      <w:pPr>
        <w:spacing w:after="36" w:lineRule="auto"/>
        <w:rPr/>
      </w:pPr>
      <w:r w:rsidDel="00000000" w:rsidR="00000000" w:rsidRPr="00000000">
        <w:rPr>
          <w:rtl w:val="0"/>
        </w:rPr>
      </w:r>
    </w:p>
    <w:p w:rsidR="00000000" w:rsidDel="00000000" w:rsidP="00000000" w:rsidRDefault="00000000" w:rsidRPr="00000000" w14:paraId="00000027">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negative sign inverts the return so that oversold stocks (negative 21-day return) receive a positive score. Stocks with above-average volume during the drawdown receive a higher weight, reflecting the idea that forced selling creates a more reliable mean-reversion opportunity than drift.</w:t>
      </w:r>
      <w:r w:rsidDel="00000000" w:rsidR="00000000" w:rsidRPr="00000000">
        <w:rPr>
          <w:rtl w:val="0"/>
        </w:rPr>
      </w:r>
    </w:p>
    <w:p w:rsidR="00000000" w:rsidDel="00000000" w:rsidP="00000000" w:rsidRDefault="00000000" w:rsidRPr="00000000" w14:paraId="00000028">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3.4 Alpha Decay Analysis</w:t>
      </w:r>
      <w:r w:rsidDel="00000000" w:rsidR="00000000" w:rsidRPr="00000000">
        <w:rPr>
          <w:rtl w:val="0"/>
        </w:rPr>
      </w:r>
    </w:p>
    <w:p w:rsidR="00000000" w:rsidDel="00000000" w:rsidP="00000000" w:rsidRDefault="00000000" w:rsidRPr="00000000" w14:paraId="00000029">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Before using any factor in live portfolio construction, we ran an information coefficient (IC) decay analysis to understand how quickly predictive power diminishes. The IC is computed as the Spearman rank correlation between the signal at time t and forward returns at horizon h.</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tl w:val="0"/>
        </w:rPr>
      </w:r>
    </w:p>
    <w:p w:rsidR="00000000" w:rsidDel="00000000" w:rsidP="00000000" w:rsidRDefault="00000000" w:rsidRPr="00000000" w14:paraId="0000002B">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Momentum shows a gradual IC decay with a half-life in the 60-90 trading day range, consistent with the published literature. Reversal decays faster, with most of the IC concentrated in the first 10-15 trading days. This asymmetry in decay guided the regime-dependent weighting: in trending markets, momentum is given a higher weight because it has a longer-lived edge; in stress periods characterised by high volatility, reversal dominates because quick mean reversion is more likely than trend continuation.</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4. Regime Detection</w:t>
      </w:r>
      <w:r w:rsidDel="00000000" w:rsidR="00000000" w:rsidRPr="00000000">
        <w:rPr>
          <w:rtl w:val="0"/>
        </w:rPr>
      </w:r>
    </w:p>
    <w:p w:rsidR="00000000" w:rsidDel="00000000" w:rsidP="00000000" w:rsidRDefault="00000000" w:rsidRPr="00000000" w14:paraId="0000002E">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4.1 Motivation</w:t>
      </w:r>
      <w:r w:rsidDel="00000000" w:rsidR="00000000" w:rsidRPr="00000000">
        <w:rPr>
          <w:rtl w:val="0"/>
        </w:rPr>
      </w:r>
    </w:p>
    <w:p w:rsidR="00000000" w:rsidDel="00000000" w:rsidP="00000000" w:rsidRDefault="00000000" w:rsidRPr="00000000" w14:paraId="0000002F">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A fixed blend of momentum and reversal will be miscalibrated for at least part of the economic cycle. Bull markets with low realised volatility tend to be trend-following environments; stress episodes characterised by rapid volatility expansion tend to favour mean reversion as crowded positions unwind. Adapting the signal weights to the current regime is therefore both theoretically motivated and empirically important.</w:t>
      </w:r>
      <w:r w:rsidDel="00000000" w:rsidR="00000000" w:rsidRPr="00000000">
        <w:rPr>
          <w:rtl w:val="0"/>
        </w:rPr>
      </w:r>
    </w:p>
    <w:p w:rsidR="00000000" w:rsidDel="00000000" w:rsidP="00000000" w:rsidRDefault="00000000" w:rsidRPr="00000000" w14:paraId="00000030">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4.2 Hidden Markov Model</w:t>
      </w:r>
      <w:r w:rsidDel="00000000" w:rsidR="00000000" w:rsidRPr="00000000">
        <w:rPr>
          <w:rtl w:val="0"/>
        </w:rPr>
      </w:r>
    </w:p>
    <w:p w:rsidR="00000000" w:rsidDel="00000000" w:rsidP="00000000" w:rsidRDefault="00000000" w:rsidRPr="00000000" w14:paraId="0000003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Regime classification is performed using a two-state Gaussian hidden Markov model fitted to a rolling window of daily Nifty 500 market volatility. The observation sequence is the 21-day rolling standard deviation of the Nifty 500 index return. Two latent states are inferred: a low-volatility regime (State 0) and a high-volatility or stress regime (State 1).</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model is fitted on data up to a specified cut-off date using the hmmlearn library, and regime labels are then decoded for the full history using the Viterbi algorithm. To prevent look-ahead bias in the backtest, regime labels used for portfolio construction on any given date are derived from the model as it would have been estimated at that point in time.</w:t>
      </w:r>
      <w:r w:rsidDel="00000000" w:rsidR="00000000" w:rsidRPr="00000000">
        <w:rPr>
          <w:rtl w:val="0"/>
        </w:rPr>
      </w:r>
    </w:p>
    <w:p w:rsidR="00000000" w:rsidDel="00000000" w:rsidP="00000000" w:rsidRDefault="00000000" w:rsidRPr="00000000" w14:paraId="00000034">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4.3 Signal Weighting</w:t>
      </w:r>
      <w:r w:rsidDel="00000000" w:rsidR="00000000" w:rsidRPr="00000000">
        <w:rPr>
          <w:rtl w:val="0"/>
        </w:rPr>
      </w:r>
    </w:p>
    <w:p w:rsidR="00000000" w:rsidDel="00000000" w:rsidP="00000000" w:rsidRDefault="00000000" w:rsidRPr="00000000" w14:paraId="00000035">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Once the regime label is determined for each trading day, the composite signal is formed as a weighted average of the two factors:</w:t>
      </w:r>
      <w:r w:rsidDel="00000000" w:rsidR="00000000" w:rsidRPr="00000000">
        <w:rPr>
          <w:rtl w:val="0"/>
        </w:rPr>
      </w:r>
    </w:p>
    <w:p w:rsidR="00000000" w:rsidDel="00000000" w:rsidP="00000000" w:rsidRDefault="00000000" w:rsidRPr="00000000" w14:paraId="00000036">
      <w:pPr>
        <w:spacing w:after="3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Regime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Momentum Weight</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Reversal Weight</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3A">
            <w:pPr>
              <w:jc w:val="center"/>
              <w:rPr/>
            </w:pPr>
            <w:r w:rsidDel="00000000" w:rsidR="00000000" w:rsidRPr="00000000">
              <w:rPr>
                <w:rFonts w:ascii="Arial" w:cs="Arial" w:eastAsia="Arial" w:hAnsi="Arial"/>
                <w:color w:val="222222"/>
                <w:sz w:val="20"/>
                <w:szCs w:val="20"/>
                <w:rtl w:val="0"/>
              </w:rPr>
              <w:t xml:space="preserve">Low-Vol / Trending (State 0)</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3B">
            <w:pPr>
              <w:jc w:val="center"/>
              <w:rPr/>
            </w:pPr>
            <w:r w:rsidDel="00000000" w:rsidR="00000000" w:rsidRPr="00000000">
              <w:rPr>
                <w:rFonts w:ascii="Arial" w:cs="Arial" w:eastAsia="Arial" w:hAnsi="Arial"/>
                <w:color w:val="222222"/>
                <w:sz w:val="20"/>
                <w:szCs w:val="20"/>
                <w:rtl w:val="0"/>
              </w:rPr>
              <w:t xml:space="preserve">0.70</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3C">
            <w:pPr>
              <w:jc w:val="center"/>
              <w:rPr/>
            </w:pPr>
            <w:r w:rsidDel="00000000" w:rsidR="00000000" w:rsidRPr="00000000">
              <w:rPr>
                <w:rFonts w:ascii="Arial" w:cs="Arial" w:eastAsia="Arial" w:hAnsi="Arial"/>
                <w:color w:val="222222"/>
                <w:sz w:val="20"/>
                <w:szCs w:val="20"/>
                <w:rtl w:val="0"/>
              </w:rPr>
              <w:t xml:space="preserve">0.30</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3D">
            <w:pPr>
              <w:jc w:val="center"/>
              <w:rPr/>
            </w:pPr>
            <w:r w:rsidDel="00000000" w:rsidR="00000000" w:rsidRPr="00000000">
              <w:rPr>
                <w:rFonts w:ascii="Arial" w:cs="Arial" w:eastAsia="Arial" w:hAnsi="Arial"/>
                <w:color w:val="222222"/>
                <w:sz w:val="20"/>
                <w:szCs w:val="20"/>
                <w:rtl w:val="0"/>
              </w:rPr>
              <w:t xml:space="preserve">High-Vol / Stress (State 1)</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3E">
            <w:pPr>
              <w:jc w:val="center"/>
              <w:rPr/>
            </w:pPr>
            <w:r w:rsidDel="00000000" w:rsidR="00000000" w:rsidRPr="00000000">
              <w:rPr>
                <w:rFonts w:ascii="Arial" w:cs="Arial" w:eastAsia="Arial" w:hAnsi="Arial"/>
                <w:color w:val="222222"/>
                <w:sz w:val="20"/>
                <w:szCs w:val="20"/>
                <w:rtl w:val="0"/>
              </w:rPr>
              <w:t xml:space="preserve">0.30</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3F">
            <w:pPr>
              <w:jc w:val="center"/>
              <w:rPr/>
            </w:pPr>
            <w:r w:rsidDel="00000000" w:rsidR="00000000" w:rsidRPr="00000000">
              <w:rPr>
                <w:rFonts w:ascii="Arial" w:cs="Arial" w:eastAsia="Arial" w:hAnsi="Arial"/>
                <w:color w:val="222222"/>
                <w:sz w:val="20"/>
                <w:szCs w:val="20"/>
                <w:rtl w:val="0"/>
              </w:rPr>
              <w:t xml:space="preserve">0.70</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This regime-conditional weighting means the strategy does not blindly chase trends into a crash, nor does it stubbornly fade moves during a sustained bull market.</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5. Portfolio Construction and Optimisation</w:t>
      </w:r>
      <w:r w:rsidDel="00000000" w:rsidR="00000000" w:rsidRPr="00000000">
        <w:rPr>
          <w:rtl w:val="0"/>
        </w:rPr>
      </w:r>
    </w:p>
    <w:p w:rsidR="00000000" w:rsidDel="00000000" w:rsidP="00000000" w:rsidRDefault="00000000" w:rsidRPr="00000000" w14:paraId="00000044">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5.1 Long-Short Construction</w:t>
      </w:r>
      <w:r w:rsidDel="00000000" w:rsidR="00000000" w:rsidRPr="00000000">
        <w:rPr>
          <w:rtl w:val="0"/>
        </w:rPr>
      </w:r>
    </w:p>
    <w:p w:rsidR="00000000" w:rsidDel="00000000" w:rsidP="00000000" w:rsidRDefault="00000000" w:rsidRPr="00000000" w14:paraId="00000045">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At each monthly rebalance, stocks are ranked by their composite signal score. The top quintile forms the long book and the bottom quintile forms the short book. The target portfolio is therefore market-neutral in construction, although we do not impose a strict dollar-neutral constraint — net exposure is allowed to vary within a band determined by the optimiser.</w:t>
      </w:r>
      <w:r w:rsidDel="00000000" w:rsidR="00000000" w:rsidRPr="00000000">
        <w:rPr>
          <w:rtl w:val="0"/>
        </w:rPr>
      </w:r>
    </w:p>
    <w:p w:rsidR="00000000" w:rsidDel="00000000" w:rsidP="00000000" w:rsidRDefault="00000000" w:rsidRPr="00000000" w14:paraId="00000046">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5.2 Optimisation</w:t>
      </w:r>
      <w:r w:rsidDel="00000000" w:rsidR="00000000" w:rsidRPr="00000000">
        <w:rPr>
          <w:rtl w:val="0"/>
        </w:rPr>
      </w:r>
    </w:p>
    <w:p w:rsidR="00000000" w:rsidDel="00000000" w:rsidP="00000000" w:rsidRDefault="00000000" w:rsidRPr="00000000" w14:paraId="00000047">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Raw signal ranks are not translated directly into equal-weighted positions. Instead, the PortfolioOptimizer module solves a constrained quadratic programme that maximises the portfolio's expected return (proxied by the composite signal) subject to a bound on portfolio variance. The specific constraints enforced are:</w:t>
      </w:r>
      <w:r w:rsidDel="00000000" w:rsidR="00000000" w:rsidRPr="00000000">
        <w:rPr>
          <w:rtl w:val="0"/>
        </w:rPr>
      </w:r>
    </w:p>
    <w:p w:rsidR="00000000" w:rsidDel="00000000" w:rsidP="00000000" w:rsidRDefault="00000000" w:rsidRPr="00000000" w14:paraId="00000048">
      <w:pPr>
        <w:spacing w:after="36"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Maximum position size of 5% of notional in any single name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Maximum sector concentration of 20% of gross exposure in any single GICS sector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Monthly turnover limit of 25% of gross notional to limit transaction costs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Volatility-proportional position sizing, where each position weight is scaled inversely to the instrument's trailing 63-day realised volatility</w:t>
      </w:r>
      <w:r w:rsidDel="00000000" w:rsidR="00000000" w:rsidRPr="00000000">
        <w:rPr>
          <w:rtl w:val="0"/>
        </w:rPr>
      </w:r>
    </w:p>
    <w:p w:rsidR="00000000" w:rsidDel="00000000" w:rsidP="00000000" w:rsidRDefault="00000000" w:rsidRPr="00000000" w14:paraId="0000004D">
      <w:pPr>
        <w:spacing w:after="36" w:lineRule="auto"/>
        <w:rPr/>
      </w:pPr>
      <w:r w:rsidDel="00000000" w:rsidR="00000000" w:rsidRPr="00000000">
        <w:rPr>
          <w:rtl w:val="0"/>
        </w:rPr>
      </w:r>
    </w:p>
    <w:p w:rsidR="00000000" w:rsidDel="00000000" w:rsidP="00000000" w:rsidRDefault="00000000" w:rsidRPr="00000000" w14:paraId="0000004E">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volatility-proportional sizing serves a dual purpose: it roughly equalises the risk contribution of each position (approaching a risk-parity allocation within each book), and it naturally reduces concentration in highly volatile small-caps that might otherwise dominate the signal ranking.</w:t>
      </w:r>
      <w:r w:rsidDel="00000000" w:rsidR="00000000" w:rsidRPr="00000000">
        <w:rPr>
          <w:rtl w:val="0"/>
        </w:rPr>
      </w:r>
    </w:p>
    <w:p w:rsidR="00000000" w:rsidDel="00000000" w:rsidP="00000000" w:rsidRDefault="00000000" w:rsidRPr="00000000" w14:paraId="0000004F">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5.3 Rebalancing</w:t>
      </w:r>
      <w:r w:rsidDel="00000000" w:rsidR="00000000" w:rsidRPr="00000000">
        <w:rPr>
          <w:rtl w:val="0"/>
        </w:rPr>
      </w:r>
    </w:p>
    <w:p w:rsidR="00000000" w:rsidDel="00000000" w:rsidP="00000000" w:rsidRDefault="00000000" w:rsidRPr="00000000" w14:paraId="00000050">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portfolio is rebalanced monthly, at the close on the last trading day of each month. We chose monthly rather than weekly rebalancing primarily to manage turnover: the reversal factor would theoretically benefit from more frequent rebalancing, but the associated transaction costs — at 20 basis points round-trip — would exceed the incremental alpha. The dashboard allows the rebalancing frequency to be adjusted interactively so that this trade-off can be visualised directly.</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6. Risk Management</w:t>
      </w:r>
      <w:r w:rsidDel="00000000" w:rsidR="00000000" w:rsidRPr="00000000">
        <w:rPr>
          <w:rtl w:val="0"/>
        </w:rPr>
      </w:r>
    </w:p>
    <w:p w:rsidR="00000000" w:rsidDel="00000000" w:rsidP="00000000" w:rsidRDefault="00000000" w:rsidRPr="00000000" w14:paraId="00000053">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Risk controls operate at three levels: pre-trade, intra-period, and post-trade.</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At the pre-trade level, each proposed trade is checked against the position limit, sector concentration limit, and turnover constraint before it is submitted to the order management module. Trades that would breach any constraint are scaled back proportionally.</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tl w:val="0"/>
        </w:rPr>
      </w:r>
    </w:p>
    <w:p w:rsidR="00000000" w:rsidDel="00000000" w:rsidP="00000000" w:rsidRDefault="00000000" w:rsidRPr="00000000" w14:paraId="00000057">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During the backtest, the engine computes rolling Value at Risk (VaR) at both 95% and 99% confidence levels using a historical simulation approach over the trailing 252 trading days. Conditional Value at Risk (CVaR), also known as Expected Shortfall, is computed as the mean return below the VaR threshold. These metrics are monitored on the risk dashboard alongside realised volatility at 21-day and 63-day rolling windows.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tl w:val="0"/>
        </w:rPr>
      </w:r>
    </w:p>
    <w:p w:rsidR="00000000" w:rsidDel="00000000" w:rsidP="00000000" w:rsidRDefault="00000000" w:rsidRPr="00000000" w14:paraId="00000059">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Post-trade, the system logs the full trade record, including entry and exit timestamps, direction, quantity, gross price, and imputed cost. This allows for implementation shortfall analysis: the difference between the signal date price and the next-day execution price is treated as slippage. All performance metrics are computed on net-of-cost returns.</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Maximum drawdown is tracked continuously throughout the backtest. No explicit drawdown stop-loss is implemented at the strategy level, but the regime model implicitly reduces momentum exposure during stress periods, which naturally reduces drawdown severity during crisis episodes.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7. Backtesting Engine</w:t>
      </w:r>
      <w:r w:rsidDel="00000000" w:rsidR="00000000" w:rsidRPr="00000000">
        <w:rPr>
          <w:rtl w:val="0"/>
        </w:rPr>
      </w:r>
    </w:p>
    <w:p w:rsidR="00000000" w:rsidDel="00000000" w:rsidP="00000000" w:rsidRDefault="00000000" w:rsidRPr="00000000" w14:paraId="0000005E">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7.1 Architecture</w:t>
      </w:r>
      <w:r w:rsidDel="00000000" w:rsidR="00000000" w:rsidRPr="00000000">
        <w:rPr>
          <w:rtl w:val="0"/>
        </w:rPr>
      </w:r>
    </w:p>
    <w:p w:rsidR="00000000" w:rsidDel="00000000" w:rsidP="00000000" w:rsidRDefault="00000000" w:rsidRPr="00000000" w14:paraId="0000005F">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backtesting engine (Backtester.py) follows an event-driven design. At each rebalance date, the engine: (1) loads the current signal values and regime label, (2) calls the portfolio optimiser to compute target weights, (3) computes the trade list required to transition from the current portfolio to the target, (4) applies transaction costs to each trade, and (5) records the resulting daily P&amp;L. Between rebalance dates, the portfolio drifts with market prices.</w:t>
      </w:r>
      <w:r w:rsidDel="00000000" w:rsidR="00000000" w:rsidRPr="00000000">
        <w:rPr>
          <w:rtl w:val="0"/>
        </w:rPr>
      </w:r>
    </w:p>
    <w:p w:rsidR="00000000" w:rsidDel="00000000" w:rsidP="00000000" w:rsidRDefault="00000000" w:rsidRPr="00000000" w14:paraId="00000060">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7.2 Transaction Cost Modelling</w:t>
      </w:r>
      <w:r w:rsidDel="00000000" w:rsidR="00000000" w:rsidRPr="00000000">
        <w:rPr>
          <w:rtl w:val="0"/>
        </w:rPr>
      </w:r>
    </w:p>
    <w:p w:rsidR="00000000" w:rsidDel="00000000" w:rsidP="00000000" w:rsidRDefault="00000000" w:rsidRPr="00000000" w14:paraId="0000006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cost model has three components. Fixed commission is set at 10 basis points per side (20 basis points round-trip), consistent with typical retail broker fees on the NSE. Bid-ask spread is estimated as 5 basis points per side for large-cap names and 10 basis points for mid and small-caps. Market impact for larger orders follows a square-root model, where impact is proportional to the square root of the fraction of average daily volume traded. For the portfolio sizes considered in this backtest, the market impact component is small but non-negligible for small-cap positions.</w:t>
      </w: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Arial" w:cs="Arial" w:eastAsia="Arial" w:hAnsi="Arial"/>
          <w:b w:val="1"/>
          <w:bCs w:val="1"/>
          <w:color w:val="1a3c5e"/>
          <w:sz w:val="24"/>
          <w:szCs w:val="24"/>
          <w:rtl w:val="0"/>
        </w:rPr>
        <w:t xml:space="preserve">7.3 Walk-Forward Validation</w:t>
      </w:r>
      <w:r w:rsidDel="00000000" w:rsidR="00000000" w:rsidRPr="00000000">
        <w:rPr>
          <w:rtl w:val="0"/>
        </w:rPr>
      </w:r>
    </w:p>
    <w:p w:rsidR="00000000" w:rsidDel="00000000" w:rsidP="00000000" w:rsidRDefault="00000000" w:rsidRPr="00000000" w14:paraId="00000063">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To guard against overfitting, all reported results use a walk-forward methodology. The HMM is fitted on data up to the user-specified fit-end date. Signal parameters (lookback windows, ranking thresholds) were set using the first three years of data as a development period and held fixed thereafter. The primary evaluation window is 2015 through 2025, giving a 10-year out-of-sample period on which no parameters were tuned.</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8. Performance Summary</w:t>
      </w:r>
      <w:r w:rsidDel="00000000" w:rsidR="00000000" w:rsidRPr="00000000">
        <w:rPr>
          <w:rtl w:val="0"/>
        </w:rPr>
      </w:r>
    </w:p>
    <w:p w:rsidR="00000000" w:rsidDel="00000000" w:rsidP="00000000" w:rsidRDefault="00000000" w:rsidRPr="00000000" w14:paraId="00000066">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following table summarises backtest performance for the primary strategy configuration over the evaluation window, net of all transaction costs.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3600"/>
        <w:tblGridChange w:id="0">
          <w:tblGrid>
            <w:gridCol w:w="3600"/>
            <w:gridCol w:w="2160"/>
            <w:gridCol w:w="3600"/>
          </w:tblGrid>
        </w:tblGridChange>
      </w:tblGrid>
      <w:tr>
        <w:trPr>
          <w:cantSplit w:val="0"/>
          <w:tblHeader w:val="1"/>
        </w:trPr>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Benchmark Context</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6B">
            <w:pPr>
              <w:jc w:val="center"/>
              <w:rPr/>
            </w:pPr>
            <w:r w:rsidDel="00000000" w:rsidR="00000000" w:rsidRPr="00000000">
              <w:rPr>
                <w:rFonts w:ascii="Arial" w:cs="Arial" w:eastAsia="Arial" w:hAnsi="Arial"/>
                <w:color w:val="222222"/>
                <w:sz w:val="20"/>
                <w:szCs w:val="20"/>
                <w:rtl w:val="0"/>
              </w:rPr>
              <w:t xml:space="preserve">Sharpe Ratio</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6C">
            <w:pPr>
              <w:jc w:val="center"/>
              <w:rPr/>
            </w:pPr>
            <w:r w:rsidDel="00000000" w:rsidR="00000000" w:rsidRPr="00000000">
              <w:rPr>
                <w:rFonts w:ascii="Arial" w:cs="Arial" w:eastAsia="Arial" w:hAnsi="Arial"/>
                <w:color w:val="222222"/>
                <w:sz w:val="20"/>
                <w:szCs w:val="20"/>
                <w:rtl w:val="0"/>
              </w:rPr>
              <w:t xml:space="preserve">~2.5+</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6D">
            <w:pPr>
              <w:jc w:val="center"/>
              <w:rPr/>
            </w:pPr>
            <w:r w:rsidDel="00000000" w:rsidR="00000000" w:rsidRPr="00000000">
              <w:rPr>
                <w:rFonts w:ascii="Arial" w:cs="Arial" w:eastAsia="Arial" w:hAnsi="Arial"/>
                <w:color w:val="222222"/>
                <w:sz w:val="20"/>
                <w:szCs w:val="20"/>
                <w:rtl w:val="0"/>
              </w:rPr>
              <w:t xml:space="preserve">Typical quant strategy: </w:t>
            </w:r>
            <w:r w:rsidDel="00000000" w:rsidR="00000000" w:rsidRPr="00000000">
              <w:rPr>
                <w:color w:val="222222"/>
                <w:sz w:val="20"/>
                <w:szCs w:val="20"/>
                <w:rtl w:val="0"/>
              </w:rPr>
              <w:t xml:space="preserve">1</w:t>
            </w:r>
            <w:r w:rsidDel="00000000" w:rsidR="00000000" w:rsidRPr="00000000">
              <w:rPr>
                <w:rFonts w:ascii="Arial" w:cs="Arial" w:eastAsia="Arial" w:hAnsi="Arial"/>
                <w:color w:val="222222"/>
                <w:sz w:val="20"/>
                <w:szCs w:val="20"/>
                <w:rtl w:val="0"/>
              </w:rPr>
              <w:t xml:space="preserve">.</w:t>
            </w:r>
            <w:r w:rsidDel="00000000" w:rsidR="00000000" w:rsidRPr="00000000">
              <w:rPr>
                <w:color w:val="222222"/>
                <w:sz w:val="20"/>
                <w:szCs w:val="20"/>
                <w:rtl w:val="0"/>
              </w:rPr>
              <w:t xml:space="preserve">2</w:t>
            </w:r>
            <w:r w:rsidDel="00000000" w:rsidR="00000000" w:rsidRPr="00000000">
              <w:rPr>
                <w:rFonts w:ascii="Arial" w:cs="Arial" w:eastAsia="Arial" w:hAnsi="Arial"/>
                <w:color w:val="222222"/>
                <w:sz w:val="20"/>
                <w:szCs w:val="20"/>
                <w:rtl w:val="0"/>
              </w:rPr>
              <w:t xml:space="preserve">–1.5</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6E">
            <w:pPr>
              <w:jc w:val="center"/>
              <w:rPr/>
            </w:pPr>
            <w:r w:rsidDel="00000000" w:rsidR="00000000" w:rsidRPr="00000000">
              <w:rPr>
                <w:rFonts w:ascii="Arial" w:cs="Arial" w:eastAsia="Arial" w:hAnsi="Arial"/>
                <w:color w:val="222222"/>
                <w:sz w:val="20"/>
                <w:szCs w:val="20"/>
                <w:rtl w:val="0"/>
              </w:rPr>
              <w:t xml:space="preserve">CAGR (net)</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6F">
            <w:pPr>
              <w:jc w:val="center"/>
              <w:rPr/>
            </w:pPr>
            <w:r w:rsidDel="00000000" w:rsidR="00000000" w:rsidRPr="00000000">
              <w:rPr>
                <w:rFonts w:ascii="Arial" w:cs="Arial" w:eastAsia="Arial" w:hAnsi="Arial"/>
                <w:color w:val="222222"/>
                <w:sz w:val="20"/>
                <w:szCs w:val="20"/>
                <w:rtl w:val="0"/>
              </w:rPr>
              <w:t xml:space="preserve">~8–9%</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0">
            <w:pPr>
              <w:jc w:val="center"/>
              <w:rPr/>
            </w:pPr>
            <w:r w:rsidDel="00000000" w:rsidR="00000000" w:rsidRPr="00000000">
              <w:rPr>
                <w:rFonts w:ascii="Arial" w:cs="Arial" w:eastAsia="Arial" w:hAnsi="Arial"/>
                <w:color w:val="222222"/>
                <w:sz w:val="20"/>
                <w:szCs w:val="20"/>
                <w:rtl w:val="0"/>
              </w:rPr>
              <w:t xml:space="preserve">Nifty 500 index: ~12% (gross)</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1">
            <w:pPr>
              <w:jc w:val="center"/>
              <w:rPr/>
            </w:pPr>
            <w:r w:rsidDel="00000000" w:rsidR="00000000" w:rsidRPr="00000000">
              <w:rPr>
                <w:rFonts w:ascii="Arial" w:cs="Arial" w:eastAsia="Arial" w:hAnsi="Arial"/>
                <w:color w:val="222222"/>
                <w:sz w:val="20"/>
                <w:szCs w:val="20"/>
                <w:rtl w:val="0"/>
              </w:rPr>
              <w:t xml:space="preserve">Maximum Drawdown</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2">
            <w:pPr>
              <w:jc w:val="center"/>
              <w:rPr/>
            </w:pPr>
            <w:r w:rsidDel="00000000" w:rsidR="00000000" w:rsidRPr="00000000">
              <w:rPr>
                <w:rFonts w:ascii="Arial" w:cs="Arial" w:eastAsia="Arial" w:hAnsi="Arial"/>
                <w:color w:val="222222"/>
                <w:sz w:val="20"/>
                <w:szCs w:val="20"/>
                <w:rtl w:val="0"/>
              </w:rPr>
              <w:t xml:space="preserve">~6–8%</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3">
            <w:pPr>
              <w:jc w:val="center"/>
              <w:rPr/>
            </w:pPr>
            <w:r w:rsidDel="00000000" w:rsidR="00000000" w:rsidRPr="00000000">
              <w:rPr>
                <w:rFonts w:ascii="Arial" w:cs="Arial" w:eastAsia="Arial" w:hAnsi="Arial"/>
                <w:color w:val="222222"/>
                <w:sz w:val="20"/>
                <w:szCs w:val="20"/>
                <w:rtl w:val="0"/>
              </w:rPr>
              <w:t xml:space="preserve">Index peak drawdown: 38% (2020)</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4">
            <w:pPr>
              <w:jc w:val="center"/>
              <w:rPr/>
            </w:pPr>
            <w:r w:rsidDel="00000000" w:rsidR="00000000" w:rsidRPr="00000000">
              <w:rPr>
                <w:rFonts w:ascii="Arial" w:cs="Arial" w:eastAsia="Arial" w:hAnsi="Arial"/>
                <w:color w:val="222222"/>
                <w:sz w:val="20"/>
                <w:szCs w:val="20"/>
                <w:rtl w:val="0"/>
              </w:rPr>
              <w:t xml:space="preserve">Calmar Ratio</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5">
            <w:pPr>
              <w:jc w:val="center"/>
              <w:rPr/>
            </w:pPr>
            <w:r w:rsidDel="00000000" w:rsidR="00000000" w:rsidRPr="00000000">
              <w:rPr>
                <w:rFonts w:ascii="Arial" w:cs="Arial" w:eastAsia="Arial" w:hAnsi="Arial"/>
                <w:color w:val="222222"/>
                <w:sz w:val="20"/>
                <w:szCs w:val="20"/>
                <w:rtl w:val="0"/>
              </w:rPr>
              <w:t xml:space="preserve">~1.1–1.5</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6">
            <w:pPr>
              <w:jc w:val="center"/>
              <w:rPr/>
            </w:pPr>
            <w:r w:rsidDel="00000000" w:rsidR="00000000" w:rsidRPr="00000000">
              <w:rPr>
                <w:rFonts w:ascii="Arial" w:cs="Arial" w:eastAsia="Arial" w:hAnsi="Arial"/>
                <w:color w:val="222222"/>
                <w:sz w:val="20"/>
                <w:szCs w:val="20"/>
                <w:rtl w:val="0"/>
              </w:rPr>
              <w:t xml:space="preserve">Good: &gt;1.0</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7">
            <w:pPr>
              <w:jc w:val="center"/>
              <w:rPr/>
            </w:pPr>
            <w:r w:rsidDel="00000000" w:rsidR="00000000" w:rsidRPr="00000000">
              <w:rPr>
                <w:rFonts w:ascii="Arial" w:cs="Arial" w:eastAsia="Arial" w:hAnsi="Arial"/>
                <w:color w:val="222222"/>
                <w:sz w:val="20"/>
                <w:szCs w:val="20"/>
                <w:rtl w:val="0"/>
              </w:rPr>
              <w:t xml:space="preserve">Monthly Turnover</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8">
            <w:pPr>
              <w:jc w:val="center"/>
              <w:rPr/>
            </w:pPr>
            <w:r w:rsidDel="00000000" w:rsidR="00000000" w:rsidRPr="00000000">
              <w:rPr>
                <w:rFonts w:ascii="Arial" w:cs="Arial" w:eastAsia="Arial" w:hAnsi="Arial"/>
                <w:color w:val="222222"/>
                <w:sz w:val="20"/>
                <w:szCs w:val="20"/>
                <w:rtl w:val="0"/>
              </w:rPr>
              <w:t xml:space="preserve">~25%</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9">
            <w:pPr>
              <w:jc w:val="center"/>
              <w:rPr/>
            </w:pPr>
            <w:r w:rsidDel="00000000" w:rsidR="00000000" w:rsidRPr="00000000">
              <w:rPr>
                <w:rFonts w:ascii="Arial" w:cs="Arial" w:eastAsia="Arial" w:hAnsi="Arial"/>
                <w:color w:val="222222"/>
                <w:sz w:val="20"/>
                <w:szCs w:val="20"/>
                <w:rtl w:val="0"/>
              </w:rPr>
              <w:t xml:space="preserve">Target cap</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A">
            <w:pPr>
              <w:jc w:val="center"/>
              <w:rPr/>
            </w:pPr>
            <w:r w:rsidDel="00000000" w:rsidR="00000000" w:rsidRPr="00000000">
              <w:rPr>
                <w:rFonts w:ascii="Arial" w:cs="Arial" w:eastAsia="Arial" w:hAnsi="Arial"/>
                <w:color w:val="222222"/>
                <w:sz w:val="20"/>
                <w:szCs w:val="20"/>
                <w:rtl w:val="0"/>
              </w:rPr>
              <w:t xml:space="preserve">Transaction Cost Assumption</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B">
            <w:pPr>
              <w:jc w:val="center"/>
              <w:rPr/>
            </w:pPr>
            <w:r w:rsidDel="00000000" w:rsidR="00000000" w:rsidRPr="00000000">
              <w:rPr>
                <w:rFonts w:ascii="Arial" w:cs="Arial" w:eastAsia="Arial" w:hAnsi="Arial"/>
                <w:color w:val="222222"/>
                <w:sz w:val="20"/>
                <w:szCs w:val="20"/>
                <w:rtl w:val="0"/>
              </w:rPr>
              <w:t xml:space="preserve">20 bps round-trip</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C">
            <w:pPr>
              <w:jc w:val="center"/>
              <w:rPr/>
            </w:pPr>
            <w:r w:rsidDel="00000000" w:rsidR="00000000" w:rsidRPr="00000000">
              <w:rPr>
                <w:rFonts w:ascii="Arial" w:cs="Arial" w:eastAsia="Arial" w:hAnsi="Arial"/>
                <w:color w:val="222222"/>
                <w:sz w:val="20"/>
                <w:szCs w:val="20"/>
                <w:rtl w:val="0"/>
              </w:rPr>
              <w:t xml:space="preserve">Conservative retail estimate</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D">
            <w:pPr>
              <w:jc w:val="center"/>
              <w:rPr/>
            </w:pPr>
            <w:r w:rsidDel="00000000" w:rsidR="00000000" w:rsidRPr="00000000">
              <w:rPr>
                <w:rFonts w:ascii="Arial" w:cs="Arial" w:eastAsia="Arial" w:hAnsi="Arial"/>
                <w:color w:val="222222"/>
                <w:sz w:val="20"/>
                <w:szCs w:val="20"/>
                <w:rtl w:val="0"/>
              </w:rPr>
              <w:t xml:space="preserve">Win Rate (daily)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E">
            <w:pPr>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color w:val="222222"/>
                <w:sz w:val="20"/>
                <w:szCs w:val="20"/>
                <w:rtl w:val="0"/>
              </w:rPr>
              <w:t xml:space="preserve">5</w:t>
            </w:r>
            <w:r w:rsidDel="00000000" w:rsidR="00000000" w:rsidRPr="00000000">
              <w:rPr>
                <w:rFonts w:ascii="Arial" w:cs="Arial" w:eastAsia="Arial" w:hAnsi="Arial"/>
                <w:color w:val="222222"/>
                <w:sz w:val="20"/>
                <w:szCs w:val="20"/>
                <w:rtl w:val="0"/>
              </w:rPr>
              <w:t xml:space="preserve">–5</w:t>
            </w:r>
            <w:r w:rsidDel="00000000" w:rsidR="00000000" w:rsidRPr="00000000">
              <w:rPr>
                <w:color w:val="222222"/>
                <w:sz w:val="20"/>
                <w:szCs w:val="20"/>
                <w:rtl w:val="0"/>
              </w:rPr>
              <w:t xml:space="preserve">9</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7F">
            <w:pPr>
              <w:jc w:val="center"/>
              <w:rPr/>
            </w:pPr>
            <w:r w:rsidDel="00000000" w:rsidR="00000000" w:rsidRPr="00000000">
              <w:rPr>
                <w:color w:val="222222"/>
                <w:sz w:val="20"/>
                <w:szCs w:val="20"/>
                <w:rtl w:val="0"/>
              </w:rPr>
              <w:t xml:space="preserve">A</w:t>
            </w:r>
            <w:r w:rsidDel="00000000" w:rsidR="00000000" w:rsidRPr="00000000">
              <w:rPr>
                <w:rFonts w:ascii="Arial" w:cs="Arial" w:eastAsia="Arial" w:hAnsi="Arial"/>
                <w:color w:val="222222"/>
                <w:sz w:val="20"/>
                <w:szCs w:val="20"/>
                <w:rtl w:val="0"/>
              </w:rPr>
              <w:t xml:space="preserve">bove random</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0">
            <w:pPr>
              <w:jc w:val="center"/>
              <w:rPr/>
            </w:pPr>
            <w:r w:rsidDel="00000000" w:rsidR="00000000" w:rsidRPr="00000000">
              <w:rPr>
                <w:rFonts w:ascii="Arial" w:cs="Arial" w:eastAsia="Arial" w:hAnsi="Arial"/>
                <w:color w:val="222222"/>
                <w:sz w:val="20"/>
                <w:szCs w:val="20"/>
                <w:rtl w:val="0"/>
              </w:rPr>
              <w:t xml:space="preserve">Annualised Volatility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1">
            <w:pPr>
              <w:jc w:val="center"/>
              <w:rPr/>
            </w:pPr>
            <w:r w:rsidDel="00000000" w:rsidR="00000000" w:rsidRPr="00000000">
              <w:rPr>
                <w:rFonts w:ascii="Arial" w:cs="Arial" w:eastAsia="Arial" w:hAnsi="Arial"/>
                <w:color w:val="222222"/>
                <w:sz w:val="20"/>
                <w:szCs w:val="20"/>
                <w:rtl w:val="0"/>
              </w:rPr>
              <w:t xml:space="preserve">~3–4%</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2">
            <w:pPr>
              <w:jc w:val="center"/>
              <w:rPr/>
            </w:pPr>
            <w:r w:rsidDel="00000000" w:rsidR="00000000" w:rsidRPr="00000000">
              <w:rPr>
                <w:rFonts w:ascii="Arial" w:cs="Arial" w:eastAsia="Arial" w:hAnsi="Arial"/>
                <w:color w:val="222222"/>
                <w:sz w:val="20"/>
                <w:szCs w:val="20"/>
                <w:rtl w:val="0"/>
              </w:rPr>
              <w:t xml:space="preserve">Low — market-neutral design</w:t>
            </w:r>
            <w:r w:rsidDel="00000000" w:rsidR="00000000" w:rsidRPr="00000000">
              <w:rPr>
                <w:rtl w:val="0"/>
              </w:rPr>
            </w:r>
          </w:p>
        </w:tc>
      </w:tr>
    </w:tbl>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most notable feature of the results is the combination of a high Sharpe ratio with a modest CAGR. This is a direct consequence of the market-neutral construction: by holding offsetting long and short books, the strategy suppresses gross volatility to 3–4% annualised, well below the index. The Sharpe ratio reflects quality of risk-adjusted return rather than raw magnitude.</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Maximum drawdown of 6–8% compares very favourably to the Nifty 500 index, which experienced a drawdown exceeding 38% in the March 2020 period. During that episode, the regime model correctly classified the market as high-volatility, shifted weight toward reversal, and reduced net exposure — this automatic defensive posture is the primary contributor to drawdown containment.</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9. Dashboard and Reporting</w:t>
      </w:r>
      <w:r w:rsidDel="00000000" w:rsidR="00000000" w:rsidRPr="00000000">
        <w:rPr>
          <w:rtl w:val="0"/>
        </w:rPr>
      </w:r>
    </w:p>
    <w:p w:rsidR="00000000" w:rsidDel="00000000" w:rsidP="00000000" w:rsidRDefault="00000000" w:rsidRPr="00000000" w14:paraId="00000089">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monitoring interface is built in Streamlit with Plotly visualisations and styled with a dark quant-terminal aesthetic using the IBM Plex typeface family. The dashboard is organised into five tabs:</w:t>
      </w:r>
      <w:r w:rsidDel="00000000" w:rsidR="00000000" w:rsidRPr="00000000">
        <w:rPr>
          <w:rtl w:val="0"/>
        </w:rPr>
      </w:r>
    </w:p>
    <w:p w:rsidR="00000000" w:rsidDel="00000000" w:rsidP="00000000" w:rsidRDefault="00000000" w:rsidRPr="00000000" w14:paraId="0000008A">
      <w:pPr>
        <w:spacing w:after="36"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Overview: headline metrics, equity curve with drawdown shading, monthly returns heatmap, and a returns distribution chart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Factor Analysis: rolling IC for both momentum and reversal signals, IC decay by forward horizon, and a signal vs. forward return scatter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Alpha Decay: formal IC half-life computation and decay visualisation to monitor signal degradation over time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Regime Analysis: market volatility timeline, regime state classification, and a performance breakdown split by regime state (low-vol vs. stress)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Risk Dashboard: VaR and CVaR metrics, sector exposure heatmap, realised volatility surface, and rolling skewness and excess kurtosis</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sidebar provides interactive controls for the backtest date range, HMM fit-end date, momentum and reversal lookback parameters, signal blend weights, and sector/size filters. All charts and metrics update dynamically when parameters are changed, enabling parameter sensitivity analysis without re-running the full pipeline from scratch.</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10. System Architecture</w:t>
      </w:r>
      <w:r w:rsidDel="00000000" w:rsidR="00000000" w:rsidRPr="00000000">
        <w:rPr>
          <w:rtl w:val="0"/>
        </w:rPr>
      </w:r>
    </w:p>
    <w:p w:rsidR="00000000" w:rsidDel="00000000" w:rsidP="00000000" w:rsidRDefault="00000000" w:rsidRPr="00000000" w14:paraId="00000094">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codebase is organised into independent modules, each with a well-defined interface. This separation makes it easy to swap out individual components — for example, replacing the HMM with a clustering-based regime detector, or substituting a different optimiser — without touching the rest of the pipeline.</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5040"/>
        <w:tblGridChange w:id="0">
          <w:tblGrid>
            <w:gridCol w:w="2160"/>
            <w:gridCol w:w="2160"/>
            <w:gridCol w:w="5040"/>
          </w:tblGrid>
        </w:tblGridChange>
      </w:tblGrid>
      <w:tr>
        <w:trPr>
          <w:cantSplit w:val="0"/>
          <w:tblHeader w:val="1"/>
        </w:trPr>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1a3c5e" w:val="clear"/>
            <w:tcMar>
              <w:top w:w="100.0" w:type="dxa"/>
              <w:left w:w="160.0" w:type="dxa"/>
              <w:bottom w:w="100.0" w:type="dxa"/>
              <w:right w:w="16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99">
            <w:pPr>
              <w:jc w:val="center"/>
              <w:rPr/>
            </w:pPr>
            <w:r w:rsidDel="00000000" w:rsidR="00000000" w:rsidRPr="00000000">
              <w:rPr>
                <w:rFonts w:ascii="Arial" w:cs="Arial" w:eastAsia="Arial" w:hAnsi="Arial"/>
                <w:color w:val="222222"/>
                <w:sz w:val="20"/>
                <w:szCs w:val="20"/>
                <w:rtl w:val="0"/>
              </w:rPr>
              <w:t xml:space="preserve">Data Loader</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9A">
            <w:pPr>
              <w:jc w:val="center"/>
              <w:rPr/>
            </w:pPr>
            <w:r w:rsidDel="00000000" w:rsidR="00000000" w:rsidRPr="00000000">
              <w:rPr>
                <w:rFonts w:ascii="Arial" w:cs="Arial" w:eastAsia="Arial" w:hAnsi="Arial"/>
                <w:color w:val="222222"/>
                <w:sz w:val="20"/>
                <w:szCs w:val="20"/>
                <w:rtl w:val="0"/>
              </w:rPr>
              <w:t xml:space="preserve">loader.py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9B">
            <w:pPr>
              <w:jc w:val="center"/>
              <w:rPr/>
            </w:pPr>
            <w:r w:rsidDel="00000000" w:rsidR="00000000" w:rsidRPr="00000000">
              <w:rPr>
                <w:rFonts w:ascii="Arial" w:cs="Arial" w:eastAsia="Arial" w:hAnsi="Arial"/>
                <w:color w:val="222222"/>
                <w:sz w:val="20"/>
                <w:szCs w:val="20"/>
                <w:rtl w:val="0"/>
              </w:rPr>
              <w:t xml:space="preserve">Reads CSV files, constructs panel DataFrames, loads config</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jc w:val="center"/>
              <w:rPr/>
            </w:pPr>
            <w:r w:rsidDel="00000000" w:rsidR="00000000" w:rsidRPr="00000000">
              <w:rPr>
                <w:rFonts w:ascii="Arial" w:cs="Arial" w:eastAsia="Arial" w:hAnsi="Arial"/>
                <w:color w:val="222222"/>
                <w:sz w:val="20"/>
                <w:szCs w:val="20"/>
                <w:rtl w:val="0"/>
              </w:rPr>
              <w:t xml:space="preserve">Quality Control</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jc w:val="center"/>
              <w:rPr/>
            </w:pPr>
            <w:r w:rsidDel="00000000" w:rsidR="00000000" w:rsidRPr="00000000">
              <w:rPr>
                <w:rFonts w:ascii="Arial" w:cs="Arial" w:eastAsia="Arial" w:hAnsi="Arial"/>
                <w:color w:val="222222"/>
                <w:sz w:val="20"/>
                <w:szCs w:val="20"/>
                <w:rtl w:val="0"/>
              </w:rPr>
              <w:t xml:space="preserve">quality.py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jc w:val="center"/>
              <w:rPr/>
            </w:pPr>
            <w:r w:rsidDel="00000000" w:rsidR="00000000" w:rsidRPr="00000000">
              <w:rPr>
                <w:rFonts w:ascii="Arial" w:cs="Arial" w:eastAsia="Arial" w:hAnsi="Arial"/>
                <w:color w:val="222222"/>
                <w:sz w:val="20"/>
                <w:szCs w:val="20"/>
                <w:rtl w:val="0"/>
              </w:rPr>
              <w:t xml:space="preserve">Stale price detection, outlier screening, forward-fill</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9F">
            <w:pPr>
              <w:jc w:val="center"/>
              <w:rPr/>
            </w:pPr>
            <w:r w:rsidDel="00000000" w:rsidR="00000000" w:rsidRPr="00000000">
              <w:rPr>
                <w:rFonts w:ascii="Arial" w:cs="Arial" w:eastAsia="Arial" w:hAnsi="Arial"/>
                <w:color w:val="222222"/>
                <w:sz w:val="20"/>
                <w:szCs w:val="20"/>
                <w:rtl w:val="0"/>
              </w:rPr>
              <w:t xml:space="preserve">Factor Engine</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0">
            <w:pPr>
              <w:jc w:val="center"/>
              <w:rPr/>
            </w:pPr>
            <w:r w:rsidDel="00000000" w:rsidR="00000000" w:rsidRPr="00000000">
              <w:rPr>
                <w:rFonts w:ascii="Arial" w:cs="Arial" w:eastAsia="Arial" w:hAnsi="Arial"/>
                <w:color w:val="222222"/>
                <w:sz w:val="20"/>
                <w:szCs w:val="20"/>
                <w:rtl w:val="0"/>
              </w:rPr>
              <w:t xml:space="preserve">factors.py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1">
            <w:pPr>
              <w:jc w:val="center"/>
              <w:rPr/>
            </w:pPr>
            <w:r w:rsidDel="00000000" w:rsidR="00000000" w:rsidRPr="00000000">
              <w:rPr>
                <w:rFonts w:ascii="Arial" w:cs="Arial" w:eastAsia="Arial" w:hAnsi="Arial"/>
                <w:color w:val="222222"/>
                <w:sz w:val="20"/>
                <w:szCs w:val="20"/>
                <w:rtl w:val="0"/>
              </w:rPr>
              <w:t xml:space="preserve">Momentum and volume-adjusted reversal computation</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2">
            <w:pPr>
              <w:jc w:val="center"/>
              <w:rPr/>
            </w:pPr>
            <w:r w:rsidDel="00000000" w:rsidR="00000000" w:rsidRPr="00000000">
              <w:rPr>
                <w:rFonts w:ascii="Arial" w:cs="Arial" w:eastAsia="Arial" w:hAnsi="Arial"/>
                <w:color w:val="222222"/>
                <w:sz w:val="20"/>
                <w:szCs w:val="20"/>
                <w:rtl w:val="0"/>
              </w:rPr>
              <w:t xml:space="preserve">Alpha Decay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3">
            <w:pPr>
              <w:jc w:val="center"/>
              <w:rPr/>
            </w:pPr>
            <w:r w:rsidDel="00000000" w:rsidR="00000000" w:rsidRPr="00000000">
              <w:rPr>
                <w:rFonts w:ascii="Arial" w:cs="Arial" w:eastAsia="Arial" w:hAnsi="Arial"/>
                <w:color w:val="222222"/>
                <w:sz w:val="20"/>
                <w:szCs w:val="20"/>
                <w:rtl w:val="0"/>
              </w:rPr>
              <w:t xml:space="preserve">alpha_decay.py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4">
            <w:pPr>
              <w:jc w:val="center"/>
              <w:rPr/>
            </w:pPr>
            <w:r w:rsidDel="00000000" w:rsidR="00000000" w:rsidRPr="00000000">
              <w:rPr>
                <w:rFonts w:ascii="Arial" w:cs="Arial" w:eastAsia="Arial" w:hAnsi="Arial"/>
                <w:color w:val="222222"/>
                <w:sz w:val="20"/>
                <w:szCs w:val="20"/>
                <w:rtl w:val="0"/>
              </w:rPr>
              <w:t xml:space="preserve">IC computation, half-life estimation, decay by horizon</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5">
            <w:pPr>
              <w:jc w:val="center"/>
              <w:rPr/>
            </w:pPr>
            <w:r w:rsidDel="00000000" w:rsidR="00000000" w:rsidRPr="00000000">
              <w:rPr>
                <w:rFonts w:ascii="Arial" w:cs="Arial" w:eastAsia="Arial" w:hAnsi="Arial"/>
                <w:color w:val="222222"/>
                <w:sz w:val="20"/>
                <w:szCs w:val="20"/>
                <w:rtl w:val="0"/>
              </w:rPr>
              <w:t xml:space="preserve">Regime Model</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6">
            <w:pPr>
              <w:jc w:val="center"/>
              <w:rPr/>
            </w:pPr>
            <w:r w:rsidDel="00000000" w:rsidR="00000000" w:rsidRPr="00000000">
              <w:rPr>
                <w:rFonts w:ascii="Arial" w:cs="Arial" w:eastAsia="Arial" w:hAnsi="Arial"/>
                <w:color w:val="222222"/>
                <w:sz w:val="20"/>
                <w:szCs w:val="20"/>
                <w:rtl w:val="0"/>
              </w:rPr>
              <w:t xml:space="preserve">regime.py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7">
            <w:pPr>
              <w:jc w:val="center"/>
              <w:rPr/>
            </w:pPr>
            <w:r w:rsidDel="00000000" w:rsidR="00000000" w:rsidRPr="00000000">
              <w:rPr>
                <w:rFonts w:ascii="Arial" w:cs="Arial" w:eastAsia="Arial" w:hAnsi="Arial"/>
                <w:color w:val="222222"/>
                <w:sz w:val="20"/>
                <w:szCs w:val="20"/>
                <w:rtl w:val="0"/>
              </w:rPr>
              <w:t xml:space="preserve">Market vol computation, HMM fitting, Viterbi decoding</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jc w:val="center"/>
              <w:rPr/>
            </w:pPr>
            <w:r w:rsidDel="00000000" w:rsidR="00000000" w:rsidRPr="00000000">
              <w:rPr>
                <w:rFonts w:ascii="Arial" w:cs="Arial" w:eastAsia="Arial" w:hAnsi="Arial"/>
                <w:color w:val="222222"/>
                <w:sz w:val="20"/>
                <w:szCs w:val="20"/>
                <w:rtl w:val="0"/>
              </w:rPr>
              <w:t xml:space="preserve">Portfolio Optimiser</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jc w:val="center"/>
              <w:rPr/>
            </w:pPr>
            <w:r w:rsidDel="00000000" w:rsidR="00000000" w:rsidRPr="00000000">
              <w:rPr>
                <w:rFonts w:ascii="Arial" w:cs="Arial" w:eastAsia="Arial" w:hAnsi="Arial"/>
                <w:color w:val="222222"/>
                <w:sz w:val="20"/>
                <w:szCs w:val="20"/>
                <w:rtl w:val="0"/>
              </w:rPr>
              <w:t xml:space="preserve">optimizer.py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A">
            <w:pPr>
              <w:jc w:val="center"/>
              <w:rPr/>
            </w:pPr>
            <w:r w:rsidDel="00000000" w:rsidR="00000000" w:rsidRPr="00000000">
              <w:rPr>
                <w:rFonts w:ascii="Arial" w:cs="Arial" w:eastAsia="Arial" w:hAnsi="Arial"/>
                <w:color w:val="222222"/>
                <w:sz w:val="20"/>
                <w:szCs w:val="20"/>
                <w:rtl w:val="0"/>
              </w:rPr>
              <w:t xml:space="preserve">Constrained QP, position sizing, turnover enforcement</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B">
            <w:pPr>
              <w:jc w:val="center"/>
              <w:rPr/>
            </w:pPr>
            <w:r w:rsidDel="00000000" w:rsidR="00000000" w:rsidRPr="00000000">
              <w:rPr>
                <w:rFonts w:ascii="Arial" w:cs="Arial" w:eastAsia="Arial" w:hAnsi="Arial"/>
                <w:color w:val="222222"/>
                <w:sz w:val="20"/>
                <w:szCs w:val="20"/>
                <w:rtl w:val="0"/>
              </w:rPr>
              <w:t xml:space="preserve">Backtester</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C">
            <w:pPr>
              <w:jc w:val="center"/>
              <w:rPr/>
            </w:pPr>
            <w:r w:rsidDel="00000000" w:rsidR="00000000" w:rsidRPr="00000000">
              <w:rPr>
                <w:rFonts w:ascii="Arial" w:cs="Arial" w:eastAsia="Arial" w:hAnsi="Arial"/>
                <w:color w:val="222222"/>
                <w:sz w:val="20"/>
                <w:szCs w:val="20"/>
                <w:rtl w:val="0"/>
              </w:rPr>
              <w:t xml:space="preserve">Backtester.py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eff4f9" w:val="clear"/>
            <w:tcMar>
              <w:top w:w="100.0" w:type="dxa"/>
              <w:left w:w="160.0" w:type="dxa"/>
              <w:bottom w:w="100.0" w:type="dxa"/>
              <w:right w:w="160.0" w:type="dxa"/>
            </w:tcMar>
          </w:tcPr>
          <w:p w:rsidR="00000000" w:rsidDel="00000000" w:rsidP="00000000" w:rsidRDefault="00000000" w:rsidRPr="00000000" w14:paraId="000000AD">
            <w:pPr>
              <w:jc w:val="center"/>
              <w:rPr/>
            </w:pPr>
            <w:r w:rsidDel="00000000" w:rsidR="00000000" w:rsidRPr="00000000">
              <w:rPr>
                <w:rFonts w:ascii="Arial" w:cs="Arial" w:eastAsia="Arial" w:hAnsi="Arial"/>
                <w:color w:val="222222"/>
                <w:sz w:val="20"/>
                <w:szCs w:val="20"/>
                <w:rtl w:val="0"/>
              </w:rPr>
              <w:t xml:space="preserve">Event-driven backtest loop, cost modelling, P&amp;L accounting</w:t>
            </w:r>
            <w:r w:rsidDel="00000000" w:rsidR="00000000" w:rsidRPr="00000000">
              <w:rPr>
                <w:rtl w:val="0"/>
              </w:rPr>
            </w:r>
          </w:p>
        </w:tc>
      </w:tr>
      <w:tr>
        <w:trPr>
          <w:cantSplit w:val="0"/>
          <w:tblHeader w:val="0"/>
        </w:trPr>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E">
            <w:pPr>
              <w:jc w:val="center"/>
              <w:rPr/>
            </w:pPr>
            <w:r w:rsidDel="00000000" w:rsidR="00000000" w:rsidRPr="00000000">
              <w:rPr>
                <w:rFonts w:ascii="Arial" w:cs="Arial" w:eastAsia="Arial" w:hAnsi="Arial"/>
                <w:color w:val="222222"/>
                <w:sz w:val="20"/>
                <w:szCs w:val="20"/>
                <w:rtl w:val="0"/>
              </w:rPr>
              <w:t xml:space="preserve">Dashboard</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F">
            <w:pPr>
              <w:jc w:val="center"/>
              <w:rPr/>
            </w:pPr>
            <w:r w:rsidDel="00000000" w:rsidR="00000000" w:rsidRPr="00000000">
              <w:rPr>
                <w:rFonts w:ascii="Arial" w:cs="Arial" w:eastAsia="Arial" w:hAnsi="Arial"/>
                <w:color w:val="222222"/>
                <w:sz w:val="20"/>
                <w:szCs w:val="20"/>
                <w:rtl w:val="0"/>
              </w:rPr>
              <w:t xml:space="preserve">dashboard.py</w:t>
            </w:r>
            <w:r w:rsidDel="00000000" w:rsidR="00000000" w:rsidRPr="00000000">
              <w:rPr>
                <w:rtl w:val="0"/>
              </w:rPr>
            </w:r>
          </w:p>
        </w:tc>
        <w:tc>
          <w:tcPr>
            <w:tcBorders>
              <w:top w:color="c0cfde" w:space="0" w:sz="4" w:val="single"/>
              <w:left w:color="c0cfde" w:space="0" w:sz="4" w:val="single"/>
              <w:bottom w:color="c0cfde" w:space="0" w:sz="4" w:val="single"/>
              <w:right w:color="c0cfde" w:space="0" w:sz="4" w:val="single"/>
            </w:tcBorders>
            <w:shd w:fill="ffffff" w:val="clear"/>
            <w:tcMar>
              <w:top w:w="100.0" w:type="dxa"/>
              <w:left w:w="160.0" w:type="dxa"/>
              <w:bottom w:w="100.0" w:type="dxa"/>
              <w:right w:w="160.0" w:type="dxa"/>
            </w:tcMar>
          </w:tcPr>
          <w:p w:rsidR="00000000" w:rsidDel="00000000" w:rsidP="00000000" w:rsidRDefault="00000000" w:rsidRPr="00000000" w14:paraId="000000B0">
            <w:pPr>
              <w:jc w:val="center"/>
              <w:rPr/>
            </w:pPr>
            <w:r w:rsidDel="00000000" w:rsidR="00000000" w:rsidRPr="00000000">
              <w:rPr>
                <w:rFonts w:ascii="Arial" w:cs="Arial" w:eastAsia="Arial" w:hAnsi="Arial"/>
                <w:color w:val="222222"/>
                <w:sz w:val="20"/>
                <w:szCs w:val="20"/>
                <w:rtl w:val="0"/>
              </w:rPr>
              <w:t xml:space="preserve">Streamlit interface wiring all modules together</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1"/>
        <w:pBdr>
          <w:bottom w:color="1a3c5e" w:space="6" w:sz="4" w:val="single"/>
        </w:pBdr>
        <w:spacing w:after="120" w:before="360" w:lineRule="auto"/>
        <w:rPr/>
      </w:pPr>
      <w:r w:rsidDel="00000000" w:rsidR="00000000" w:rsidRPr="00000000">
        <w:rPr>
          <w:rFonts w:ascii="Arial" w:cs="Arial" w:eastAsia="Arial" w:hAnsi="Arial"/>
          <w:b w:val="1"/>
          <w:bCs w:val="1"/>
          <w:color w:val="1a3c5e"/>
          <w:sz w:val="28"/>
          <w:szCs w:val="28"/>
          <w:rtl w:val="0"/>
        </w:rPr>
        <w:t xml:space="preserve">1</w:t>
      </w:r>
      <w:r w:rsidDel="00000000" w:rsidR="00000000" w:rsidRPr="00000000">
        <w:rPr>
          <w:rtl w:val="0"/>
        </w:rPr>
        <w:t xml:space="preserve">1</w:t>
      </w:r>
      <w:r w:rsidDel="00000000" w:rsidR="00000000" w:rsidRPr="00000000">
        <w:rPr>
          <w:rFonts w:ascii="Arial" w:cs="Arial" w:eastAsia="Arial" w:hAnsi="Arial"/>
          <w:b w:val="1"/>
          <w:bCs w:val="1"/>
          <w:color w:val="1a3c5e"/>
          <w:sz w:val="28"/>
          <w:szCs w:val="28"/>
          <w:rtl w:val="0"/>
        </w:rPr>
        <w:t xml:space="preserve">. Conclusion</w:t>
      </w:r>
      <w:r w:rsidDel="00000000" w:rsidR="00000000" w:rsidRPr="00000000">
        <w:rPr>
          <w:rtl w:val="0"/>
        </w:rPr>
      </w:r>
    </w:p>
    <w:p w:rsidR="00000000" w:rsidDel="00000000" w:rsidP="00000000" w:rsidRDefault="00000000" w:rsidRPr="00000000" w14:paraId="000000B3">
      <w:pPr>
        <w:spacing w:after="120" w:before="0" w:lineRule="auto"/>
        <w:jc w:val="both"/>
        <w:rPr/>
      </w:pPr>
      <w:r w:rsidDel="00000000" w:rsidR="00000000" w:rsidRPr="00000000">
        <w:rPr>
          <w:color w:val="222222"/>
          <w:rtl w:val="0"/>
        </w:rPr>
        <w:t xml:space="preserve">This pipeline</w:t>
      </w:r>
      <w:r w:rsidDel="00000000" w:rsidR="00000000" w:rsidRPr="00000000">
        <w:rPr>
          <w:rFonts w:ascii="Arial" w:cs="Arial" w:eastAsia="Arial" w:hAnsi="Arial"/>
          <w:b w:val="0"/>
          <w:bCs w:val="0"/>
          <w:i w:val="0"/>
          <w:iCs w:val="0"/>
          <w:color w:val="222222"/>
          <w:sz w:val="22"/>
          <w:szCs w:val="22"/>
          <w:rtl w:val="0"/>
        </w:rPr>
        <w:t xml:space="preserve"> demonstrates that a carefully designed multi-factor long-short strategy, grounded in established academic factors and augmented with regime-awareness, can achieve strong risk-adjusted performance on the Nifty 500 universe. The key design choices — excluding the most recent month from momentum, weighting reversals by abnormal volume, and dynamically adjusting factor blends based on market volatility regime — each contribute meaningfully to the final performance profile.</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spacing w:after="120" w:before="0" w:lineRule="auto"/>
        <w:jc w:val="both"/>
        <w:rPr/>
      </w:pPr>
      <w:r w:rsidDel="00000000" w:rsidR="00000000" w:rsidRPr="00000000">
        <w:rPr>
          <w:rFonts w:ascii="Arial" w:cs="Arial" w:eastAsia="Arial" w:hAnsi="Arial"/>
          <w:b w:val="0"/>
          <w:bCs w:val="0"/>
          <w:i w:val="0"/>
          <w:iCs w:val="0"/>
          <w:color w:val="222222"/>
          <w:sz w:val="22"/>
          <w:szCs w:val="22"/>
          <w:rtl w:val="0"/>
        </w:rPr>
        <w:t xml:space="preserve">The modular architecture ensures that each claim in the backtest can be traced back to a specific, inspectable piece of code. The interactive dashboard extends this transparency into the evaluation phase, allowing judges and reviewers to explore the strategy's behaviour under different parameter configurations directly. All code, data, and results are fully reproducible from the raw yfinance download through to the final reported metrics.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c5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3c5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