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Measurement Scales</w:t>
      </w:r>
    </w:p>
    <w:p>
      <w:pPr>
        <w:pStyle w:val="BodyText"/>
      </w:pPr>
      <w:r>
        <w:t xml:space="preserve">PHQ-9 (depression)</w:t>
      </w:r>
      <w:r>
        <w:t xml:space="preserve"> </w:t>
      </w:r>
      <w:r>
        <w:t xml:space="preserve">- 9-item scale; scoring and interpretation provided. Use as baseline and at follow-ups.</w:t>
      </w:r>
    </w:p>
    <w:p>
      <w:pPr>
        <w:pStyle w:val="BodyText"/>
      </w:pPr>
      <w:r>
        <w:t xml:space="preserve">GAD-7 (anxiety)</w:t>
      </w:r>
      <w:r>
        <w:t xml:space="preserve"> </w:t>
      </w:r>
      <w:r>
        <w:t xml:space="preserve">- 7-item scale; scoring and interpretation provided.</w:t>
      </w:r>
    </w:p>
    <w:p>
      <w:pPr>
        <w:pStyle w:val="BodyText"/>
      </w:pPr>
      <w:r>
        <w:t xml:space="preserve">Administration</w:t>
      </w:r>
      <w:r>
        <w:t xml:space="preserve"> </w:t>
      </w:r>
      <w:r>
        <w:t xml:space="preserve">- Ask patients to complete at baseline and weekly during the 4-week pilot.</w:t>
      </w:r>
      <w:r>
        <w:t xml:space="preserve"> </w:t>
      </w:r>
      <w:r>
        <w:t xml:space="preserve">- Store responses in</w:t>
      </w:r>
      <w:r>
        <w:t xml:space="preserve"> </w:t>
      </w:r>
      <w:r>
        <w:rPr>
          <w:rStyle w:val="VerbatimChar"/>
        </w:rPr>
        <w:t xml:space="preserve">clinical_scales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entry_timestamp</w:t>
      </w:r>
      <w:r>
        <w:t xml:space="preserve">.</w:t>
      </w:r>
    </w:p>
    <w:p>
      <w:pPr>
        <w:pStyle w:val="BodyText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