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rPr/>
      </w:pPr>
      <w:r>
        <w:rPr/>
        <w:t>Clinician Guide — Healing Space Trial</w:t>
      </w:r>
    </w:p>
    <w:p>
      <w:pPr>
        <w:pStyle w:val="BodyText"/>
        <w:rPr/>
      </w:pPr>
      <w:r>
        <w:rPr/>
        <w:t>Purpose - Overview: Provide clinician-facing instructions for running supervised trials of Healing Space with student clinicians. - Goals: Safe onboarding, reliable data capture, clear crisis workflows, and minimal clinician friction.</w:t>
      </w:r>
    </w:p>
    <w:p>
      <w:pPr>
        <w:pStyle w:val="BodyText"/>
        <w:rPr/>
      </w:pPr>
      <w:r>
        <w:rPr/>
        <w:t>Contents 1. Quick Summary 2. Roles &amp; Responsibilities 3. Setup &amp; Access 4. Clinical Workflow 5. Safety &amp; Crisis Procedures 6. Data Handling &amp; Privacy 7. Study Tasks &amp; Schedule 8. Troubleshooting 9. Contacts</w:t>
      </w:r>
    </w:p>
    <w:p>
      <w:pPr>
        <w:pStyle w:val="Compact"/>
        <w:numPr>
          <w:ilvl w:val="0"/>
          <w:numId w:val="24"/>
        </w:numPr>
        <w:rPr/>
      </w:pPr>
      <w:r>
        <w:rPr/>
        <w:t>Quick Summary</w:t>
      </w:r>
    </w:p>
    <w:p>
      <w:pPr>
        <w:pStyle w:val="Compact"/>
        <w:numPr>
          <w:ilvl w:val="0"/>
          <w:numId w:val="2"/>
        </w:numPr>
        <w:rPr/>
      </w:pPr>
      <w:r>
        <w:rPr/>
        <w:t>Platform: Healing Space is delivered as a hosted website. Clinicians and patients access it via a browser at the study URL (provided by the study admin).</w:t>
      </w:r>
    </w:p>
    <w:p>
      <w:pPr>
        <w:pStyle w:val="Compact"/>
        <w:numPr>
          <w:ilvl w:val="0"/>
          <w:numId w:val="2"/>
        </w:numPr>
        <w:rPr/>
      </w:pPr>
      <w:r>
        <w:rPr/>
        <w:t>Clinician capabilities: view patient profiles, confirm appointment attendance, send approvals, view mood logs and PHQ/GAD results, and export patient data only when consent and admin permissions allow.</w:t>
      </w:r>
    </w:p>
    <w:p>
      <w:pPr>
        <w:pStyle w:val="Compact"/>
        <w:numPr>
          <w:ilvl w:val="0"/>
          <w:numId w:val="2"/>
        </w:numPr>
        <w:rPr/>
      </w:pPr>
      <w:r>
        <w:rPr/>
        <w:t>Trial objective: evaluate usability and clinical fit with student clinicians and volunteer patients.</w:t>
      </w:r>
    </w:p>
    <w:p>
      <w:pPr>
        <w:pStyle w:val="Compact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Compact"/>
        <w:numPr>
          <w:ilvl w:val="0"/>
          <w:numId w:val="25"/>
        </w:numPr>
        <w:rPr/>
      </w:pPr>
      <w:r>
        <w:rPr/>
        <w:t>Roles &amp; Responsibilities</w:t>
      </w:r>
    </w:p>
    <w:p>
      <w:pPr>
        <w:pStyle w:val="Compact"/>
        <w:numPr>
          <w:ilvl w:val="0"/>
          <w:numId w:val="26"/>
        </w:numPr>
        <w:rPr/>
      </w:pPr>
      <w:r>
        <w:rPr/>
        <w:t>Clinician (student clinician): follow the study protocol, obtain consent, run sessions, complete post-session forms, escalate safety concerns to supervisor.</w:t>
      </w:r>
    </w:p>
    <w:p>
      <w:pPr>
        <w:pStyle w:val="Compact"/>
        <w:numPr>
          <w:ilvl w:val="0"/>
          <w:numId w:val="27"/>
        </w:numPr>
        <w:rPr/>
      </w:pPr>
      <w:r>
        <w:rPr/>
        <w:t>Study lead / supervisor: monitor alerts, review de-identified data if requested, and perform safety oversight.</w:t>
      </w:r>
    </w:p>
    <w:p>
      <w:pPr>
        <w:pStyle w:val="Compact"/>
        <w:numPr>
          <w:ilvl w:val="0"/>
          <w:numId w:val="28"/>
        </w:numPr>
        <w:rPr/>
      </w:pPr>
      <w:r>
        <w:rPr/>
        <w:t>IT contact: manages accounts, technical issues, and deploys updates.</w:t>
      </w:r>
    </w:p>
    <w:p>
      <w:pPr>
        <w:pStyle w:val="Compact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Compact"/>
        <w:numPr>
          <w:ilvl w:val="0"/>
          <w:numId w:val="29"/>
        </w:numPr>
        <w:rPr/>
      </w:pPr>
      <w:r>
        <w:rPr/>
        <w:t>Setup &amp; Access</w:t>
      </w:r>
    </w:p>
    <w:p>
      <w:pPr>
        <w:pStyle w:val="Compact"/>
        <w:numPr>
          <w:ilvl w:val="0"/>
          <w:numId w:val="30"/>
        </w:numPr>
        <w:rPr/>
      </w:pPr>
      <w:r>
        <w:rPr/>
        <w:t xml:space="preserve">Web access (recommended): the study admin will provide the site URL and account credentials. Open the URL in a modern browser (Chrome, Edge, Firefox) and log in with your assigned account. See </w:t>
      </w:r>
      <w:r>
        <w:rPr>
          <w:rStyle w:val="VerbatimChar"/>
        </w:rPr>
        <w:t>Web_Access_Guide.md</w:t>
      </w:r>
      <w:r>
        <w:rPr/>
        <w:t xml:space="preserve"> for step-by-step browser-only instructions.</w:t>
      </w:r>
    </w:p>
    <w:p>
      <w:pPr>
        <w:pStyle w:val="Compact"/>
        <w:numPr>
          <w:ilvl w:val="0"/>
          <w:numId w:val="31"/>
        </w:numPr>
        <w:rPr/>
      </w:pPr>
      <w:r>
        <w:rPr/>
        <w:t>Clinician UI: after login, open your patient list, click a patient to view mood logs, clinical scales, upcoming appointments, and attendance controls.</w:t>
      </w:r>
    </w:p>
    <w:p>
      <w:pPr>
        <w:pStyle w:val="Compact"/>
        <w:rPr/>
      </w:pPr>
      <w:r>
        <w:rPr/>
      </w:r>
    </w:p>
    <w:p>
      <w:pPr>
        <w:pStyle w:val="Compact"/>
        <w:rPr/>
      </w:pPr>
      <w:r>
        <w:rPr/>
      </w:r>
    </w:p>
    <w:p>
      <w:pPr>
        <w:pStyle w:val="Compact"/>
        <w:rPr/>
      </w:pPr>
      <w:r>
        <w:rPr/>
      </w:r>
    </w:p>
    <w:p>
      <w:pPr>
        <w:pStyle w:val="Compact"/>
        <w:numPr>
          <w:ilvl w:val="0"/>
          <w:numId w:val="32"/>
        </w:numPr>
        <w:rPr/>
      </w:pPr>
      <w:r>
        <w:rPr/>
        <w:t>Clinical Workflow</w:t>
      </w:r>
    </w:p>
    <w:p>
      <w:pPr>
        <w:pStyle w:val="Compact"/>
        <w:numPr>
          <w:ilvl w:val="0"/>
          <w:numId w:val="33"/>
        </w:numPr>
        <w:rPr/>
      </w:pPr>
      <w:r>
        <w:rPr/>
        <w:t>Pre-session</w:t>
      </w:r>
    </w:p>
    <w:p>
      <w:pPr>
        <w:pStyle w:val="Compact"/>
        <w:numPr>
          <w:ilvl w:val="1"/>
          <w:numId w:val="34"/>
        </w:numPr>
        <w:rPr/>
      </w:pPr>
      <w:r>
        <w:rPr/>
        <w:t>Verify patient consent and eligibility.</w:t>
      </w:r>
    </w:p>
    <w:p>
      <w:pPr>
        <w:pStyle w:val="Compact"/>
        <w:numPr>
          <w:ilvl w:val="1"/>
          <w:numId w:val="35"/>
        </w:numPr>
        <w:rPr/>
      </w:pPr>
      <w:r>
        <w:rPr/>
        <w:t>Review recent mood logs, clinical scales (PHQ-9/GAD-7), and prior session notes.</w:t>
      </w:r>
    </w:p>
    <w:p>
      <w:pPr>
        <w:pStyle w:val="Compact"/>
        <w:numPr>
          <w:ilvl w:val="0"/>
          <w:numId w:val="36"/>
        </w:numPr>
        <w:rPr/>
      </w:pPr>
      <w:r>
        <w:rPr/>
        <w:t>During session</w:t>
      </w:r>
    </w:p>
    <w:p>
      <w:pPr>
        <w:pStyle w:val="Compact"/>
        <w:numPr>
          <w:ilvl w:val="1"/>
          <w:numId w:val="37"/>
        </w:numPr>
        <w:rPr/>
      </w:pPr>
      <w:r>
        <w:rPr/>
        <w:t xml:space="preserve">Use </w:t>
      </w:r>
      <w:r>
        <w:rPr>
          <w:rStyle w:val="VerbatimChar"/>
        </w:rPr>
        <w:t>/api/therapy/chat</w:t>
      </w:r>
      <w:r>
        <w:rPr/>
        <w:t xml:space="preserve"> to run in-session assistant if applicable.</w:t>
      </w:r>
    </w:p>
    <w:p>
      <w:pPr>
        <w:pStyle w:val="Compact"/>
        <w:numPr>
          <w:ilvl w:val="1"/>
          <w:numId w:val="38"/>
        </w:numPr>
        <w:rPr/>
      </w:pPr>
      <w:r>
        <w:rPr/>
        <w:t xml:space="preserve">For scheduled appointments, mark attendance using attendance controls; choose </w:t>
      </w:r>
      <w:r>
        <w:rPr>
          <w:rStyle w:val="VerbatimChar"/>
        </w:rPr>
        <w:t>attended</w:t>
      </w:r>
      <w:r>
        <w:rPr/>
        <w:t xml:space="preserve">, </w:t>
      </w:r>
      <w:r>
        <w:rPr>
          <w:rStyle w:val="VerbatimChar"/>
        </w:rPr>
        <w:t>no_show</w:t>
      </w:r>
      <w:r>
        <w:rPr/>
        <w:t xml:space="preserve">, or </w:t>
      </w:r>
      <w:r>
        <w:rPr>
          <w:rStyle w:val="VerbatimChar"/>
        </w:rPr>
        <w:t>cancelled</w:t>
      </w:r>
      <w:r>
        <w:rPr/>
        <w:t xml:space="preserve"> and optionally add a clinical note.</w:t>
      </w:r>
    </w:p>
    <w:p>
      <w:pPr>
        <w:pStyle w:val="Compact"/>
        <w:numPr>
          <w:ilvl w:val="1"/>
          <w:numId w:val="39"/>
        </w:numPr>
        <w:rPr/>
      </w:pPr>
      <w:r>
        <w:rPr/>
        <w:t>For crisis indicators, follow Safety workflow (section 5).</w:t>
      </w:r>
    </w:p>
    <w:p>
      <w:pPr>
        <w:pStyle w:val="Compact"/>
        <w:numPr>
          <w:ilvl w:val="0"/>
          <w:numId w:val="40"/>
        </w:numPr>
        <w:rPr/>
      </w:pPr>
      <w:r>
        <w:rPr/>
        <w:t>Post-session</w:t>
      </w:r>
    </w:p>
    <w:p>
      <w:pPr>
        <w:pStyle w:val="Compact"/>
        <w:numPr>
          <w:ilvl w:val="1"/>
          <w:numId w:val="41"/>
        </w:numPr>
        <w:rPr/>
      </w:pPr>
      <w:r>
        <w:rPr/>
        <w:t xml:space="preserve">Complete clinician post-session evaluation form (see </w:t>
      </w:r>
      <w:r>
        <w:rPr>
          <w:rStyle w:val="VerbatimChar"/>
        </w:rPr>
        <w:t>Evaluation_Forms.md</w:t>
      </w:r>
      <w:r>
        <w:rPr/>
        <w:t>).</w:t>
      </w:r>
    </w:p>
    <w:p>
      <w:pPr>
        <w:pStyle w:val="Compact"/>
        <w:numPr>
          <w:ilvl w:val="1"/>
          <w:numId w:val="42"/>
        </w:numPr>
        <w:rPr/>
      </w:pPr>
      <w:r>
        <w:rPr/>
        <w:t>Optionally export session bundle (FHIR) only if patient provided consent for data export.</w:t>
      </w:r>
    </w:p>
    <w:p>
      <w:pPr>
        <w:pStyle w:val="Compact"/>
        <w:numPr>
          <w:ilvl w:val="1"/>
          <w:numId w:val="43"/>
        </w:numPr>
        <w:rPr/>
      </w:pPr>
      <w:r>
        <w:rPr/>
      </w:r>
    </w:p>
    <w:p>
      <w:pPr>
        <w:pStyle w:val="Compact"/>
        <w:numPr>
          <w:ilvl w:val="0"/>
          <w:numId w:val="44"/>
        </w:numPr>
        <w:rPr/>
      </w:pPr>
      <w:r>
        <w:rPr/>
        <w:t>Safety &amp; Crisis Procedures</w:t>
      </w:r>
    </w:p>
    <w:p>
      <w:pPr>
        <w:pStyle w:val="Compact"/>
        <w:numPr>
          <w:ilvl w:val="0"/>
          <w:numId w:val="45"/>
        </w:numPr>
        <w:rPr/>
      </w:pPr>
      <w:r>
        <w:rPr/>
        <w:t xml:space="preserve">The app includes </w:t>
      </w:r>
      <w:r>
        <w:rPr>
          <w:rStyle w:val="VerbatimChar"/>
        </w:rPr>
        <w:t>SafetyMonitor</w:t>
      </w:r>
      <w:r>
        <w:rPr/>
        <w:t xml:space="preserve"> which flags keywords and creates an alert in the </w:t>
      </w:r>
      <w:r>
        <w:rPr>
          <w:rStyle w:val="VerbatimChar"/>
        </w:rPr>
        <w:t>alerts</w:t>
      </w:r>
      <w:r>
        <w:rPr/>
        <w:t xml:space="preserve"> table.</w:t>
      </w:r>
    </w:p>
    <w:p>
      <w:pPr>
        <w:pStyle w:val="Compact"/>
        <w:numPr>
          <w:ilvl w:val="0"/>
          <w:numId w:val="46"/>
        </w:numPr>
        <w:rPr/>
      </w:pPr>
      <w:r>
        <w:rPr/>
        <w:t>If SafetyMonitor flags high-risk language:</w:t>
      </w:r>
    </w:p>
    <w:p>
      <w:pPr>
        <w:pStyle w:val="Compact"/>
        <w:numPr>
          <w:ilvl w:val="1"/>
          <w:numId w:val="47"/>
        </w:numPr>
        <w:rPr/>
      </w:pPr>
      <w:r>
        <w:rPr/>
        <w:t>Immediately contact supervising clinician via phone/email.</w:t>
      </w:r>
    </w:p>
    <w:p>
      <w:pPr>
        <w:pStyle w:val="Compact"/>
        <w:numPr>
          <w:ilvl w:val="1"/>
          <w:numId w:val="48"/>
        </w:numPr>
        <w:rPr/>
      </w:pPr>
      <w:r>
        <w:rPr/>
        <w:t xml:space="preserve">Use the </w:t>
      </w:r>
      <w:r>
        <w:rPr>
          <w:rStyle w:val="VerbatimChar"/>
        </w:rPr>
        <w:t>send_crisis_alert(username)</w:t>
      </w:r>
      <w:r>
        <w:rPr/>
        <w:t xml:space="preserve"> webhook if configured to forward to the clinic response team.</w:t>
      </w:r>
    </w:p>
    <w:p>
      <w:pPr>
        <w:pStyle w:val="Compact"/>
        <w:numPr>
          <w:ilvl w:val="1"/>
          <w:numId w:val="49"/>
        </w:numPr>
        <w:rPr/>
      </w:pPr>
      <w:r>
        <w:rPr/>
        <w:t xml:space="preserve">Document the escalation in </w:t>
      </w:r>
      <w:r>
        <w:rPr>
          <w:rStyle w:val="VerbatimChar"/>
        </w:rPr>
        <w:t>audit_logs</w:t>
      </w:r>
      <w:r>
        <w:rPr/>
        <w:t xml:space="preserve"> using </w:t>
      </w:r>
      <w:r>
        <w:rPr>
          <w:rStyle w:val="VerbatimChar"/>
        </w:rPr>
        <w:t>log_event()</w:t>
      </w:r>
      <w:r>
        <w:rPr/>
        <w:t>.</w:t>
      </w:r>
    </w:p>
    <w:p>
      <w:pPr>
        <w:pStyle w:val="Compact"/>
        <w:numPr>
          <w:ilvl w:val="0"/>
          <w:numId w:val="50"/>
        </w:numPr>
        <w:rPr/>
      </w:pPr>
      <w:r>
        <w:rPr/>
        <w:t>For imminent risk: call emergency services and follow local clinical protocols. Do not rely solely on automated detection.</w:t>
      </w:r>
    </w:p>
    <w:p>
      <w:pPr>
        <w:pStyle w:val="Compact"/>
        <w:numPr>
          <w:ilvl w:val="0"/>
          <w:numId w:val="51"/>
        </w:numPr>
        <w:rPr/>
      </w:pPr>
      <w:r>
        <w:rPr/>
      </w:r>
    </w:p>
    <w:p>
      <w:pPr>
        <w:pStyle w:val="Compact"/>
        <w:numPr>
          <w:ilvl w:val="0"/>
          <w:numId w:val="52"/>
        </w:numPr>
        <w:rPr/>
      </w:pPr>
      <w:r>
        <w:rPr/>
        <w:t>Data Handling &amp; Privacy</w:t>
      </w:r>
    </w:p>
    <w:p>
      <w:pPr>
        <w:pStyle w:val="Compact"/>
        <w:numPr>
          <w:ilvl w:val="0"/>
          <w:numId w:val="53"/>
        </w:numPr>
        <w:rPr/>
      </w:pPr>
      <w:r>
        <w:rPr/>
        <w:t>Data is stored securely on the hosted server and access is restricted to authorized study staff.</w:t>
      </w:r>
    </w:p>
    <w:p>
      <w:pPr>
        <w:pStyle w:val="Compact"/>
        <w:numPr>
          <w:ilvl w:val="0"/>
          <w:numId w:val="54"/>
        </w:numPr>
        <w:rPr/>
      </w:pPr>
      <w:r>
        <w:rPr/>
        <w:t>Personally identifying information (PII) is protected and encrypted by the study administrators; clinicians should not need to manage encryption keys.</w:t>
      </w:r>
    </w:p>
    <w:p>
      <w:pPr>
        <w:pStyle w:val="Compact"/>
        <w:numPr>
          <w:ilvl w:val="0"/>
          <w:numId w:val="55"/>
        </w:numPr>
        <w:rPr/>
      </w:pPr>
      <w:r>
        <w:rPr/>
        <w:t>Consent: only export or share identifiable patient data when explicit consent has been recorded.</w:t>
      </w:r>
    </w:p>
    <w:p>
      <w:pPr>
        <w:pStyle w:val="Compact"/>
        <w:numPr>
          <w:ilvl w:val="0"/>
          <w:numId w:val="56"/>
        </w:numPr>
        <w:rPr/>
      </w:pPr>
      <w:r>
        <w:rPr/>
        <w:t xml:space="preserve">For technical details about storage, encryption, and anonymization workflows (for IT/study admins), see </w:t>
      </w:r>
      <w:r>
        <w:rPr>
          <w:rStyle w:val="VerbatimChar"/>
        </w:rPr>
        <w:t>Data_Use_and_GDPR.md</w:t>
      </w:r>
      <w:r>
        <w:rPr/>
        <w:t>.</w:t>
      </w:r>
    </w:p>
    <w:p>
      <w:pPr>
        <w:pStyle w:val="Compact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Compact"/>
        <w:numPr>
          <w:ilvl w:val="0"/>
          <w:numId w:val="57"/>
        </w:numPr>
        <w:rPr/>
      </w:pPr>
      <w:r>
        <w:rPr/>
        <w:t>Study Tasks &amp; Schedule</w:t>
      </w:r>
    </w:p>
    <w:p>
      <w:pPr>
        <w:pStyle w:val="Compact"/>
        <w:numPr>
          <w:ilvl w:val="0"/>
          <w:numId w:val="58"/>
        </w:numPr>
        <w:rPr/>
      </w:pPr>
      <w:r>
        <w:rPr/>
        <w:t>Pre-trial: clinician training session (90 minutes), account provisioning, and consent practice.</w:t>
      </w:r>
    </w:p>
    <w:p>
      <w:pPr>
        <w:pStyle w:val="Compact"/>
        <w:numPr>
          <w:ilvl w:val="0"/>
          <w:numId w:val="59"/>
        </w:numPr>
        <w:rPr/>
      </w:pPr>
      <w:r>
        <w:rPr/>
        <w:t>Week-of-trial: run up to X sessions per clinician (adjust per study design), complete post-session evaluations.</w:t>
      </w:r>
    </w:p>
    <w:p>
      <w:pPr>
        <w:pStyle w:val="Compact"/>
        <w:numPr>
          <w:ilvl w:val="0"/>
          <w:numId w:val="60"/>
        </w:numPr>
        <w:rPr/>
      </w:pPr>
      <w:r>
        <w:rPr/>
        <w:t>End-of-trial: complete final clinician usability survey and debrief.</w:t>
      </w:r>
    </w:p>
    <w:p>
      <w:pPr>
        <w:pStyle w:val="Compact"/>
        <w:numPr>
          <w:ilvl w:val="0"/>
          <w:numId w:val="61"/>
        </w:numPr>
        <w:rPr/>
      </w:pPr>
      <w:r>
        <w:rPr/>
        <w:t>Troubleshooting</w:t>
      </w:r>
    </w:p>
    <w:p>
      <w:pPr>
        <w:pStyle w:val="Compact"/>
        <w:numPr>
          <w:ilvl w:val="0"/>
          <w:numId w:val="62"/>
        </w:numPr>
        <w:rPr/>
      </w:pPr>
      <w:r>
        <w:rPr/>
        <w:t xml:space="preserve">If you cannot see a patient, appointment, or specific data in the UI: sign out and sign in again, then contact the study IT support (see </w:t>
      </w:r>
      <w:r>
        <w:rPr>
          <w:rStyle w:val="VerbatimChar"/>
        </w:rPr>
        <w:t>Support_Contacts.md</w:t>
      </w:r>
      <w:r>
        <w:rPr/>
        <w:t>).</w:t>
      </w:r>
    </w:p>
    <w:p>
      <w:pPr>
        <w:pStyle w:val="Compact"/>
        <w:numPr>
          <w:ilvl w:val="0"/>
          <w:numId w:val="63"/>
        </w:numPr>
        <w:rPr/>
      </w:pPr>
      <w:r>
        <w:rPr/>
        <w:t>If you encounter an error when exporting data or any unexpected behavior, do not attempt developer fixes — record the issue and contact IT/support with the time, patient username, and a short description.</w:t>
      </w:r>
    </w:p>
    <w:p>
      <w:pPr>
        <w:pStyle w:val="Compact"/>
        <w:numPr>
          <w:ilvl w:val="0"/>
          <w:numId w:val="64"/>
        </w:numPr>
        <w:rPr/>
      </w:pPr>
      <w:r>
        <w:rPr/>
        <w:t>For any access or login problems, contact the study IT support rather than attempting local installation or debugging.</w:t>
      </w:r>
    </w:p>
    <w:p>
      <w:pPr>
        <w:pStyle w:val="Compact"/>
        <w:numPr>
          <w:ilvl w:val="0"/>
          <w:numId w:val="65"/>
        </w:numPr>
        <w:rPr/>
      </w:pPr>
      <w:r>
        <w:rPr/>
        <w:t>Contacts</w:t>
      </w:r>
    </w:p>
    <w:p>
      <w:pPr>
        <w:pStyle w:val="Compact"/>
        <w:numPr>
          <w:ilvl w:val="0"/>
          <w:numId w:val="66"/>
        </w:numPr>
        <w:rPr/>
      </w:pPr>
      <w:r>
        <w:rPr/>
        <w:t>Study lead: [enter name/email]</w:t>
      </w:r>
    </w:p>
    <w:p>
      <w:pPr>
        <w:pStyle w:val="Compact"/>
        <w:numPr>
          <w:ilvl w:val="0"/>
          <w:numId w:val="67"/>
        </w:numPr>
        <w:rPr/>
      </w:pPr>
      <w:r>
        <w:rPr/>
        <w:t>IT support: [enter name/email]</w:t>
      </w:r>
    </w:p>
    <w:p>
      <w:pPr>
        <w:pStyle w:val="Compact"/>
        <w:numPr>
          <w:ilvl w:val="0"/>
          <w:numId w:val="68"/>
        </w:numPr>
        <w:rPr/>
      </w:pPr>
      <w:r>
        <w:rPr/>
        <w:t>Safety supervisor: [enter name/phone]</w:t>
      </w:r>
    </w:p>
    <w:p>
      <w:pPr>
        <w:pStyle w:val="FirstParagraph"/>
        <w:rPr/>
      </w:pPr>
      <w:r>
        <w:rPr/>
        <w:t xml:space="preserve">Appendix: Forms &amp; references in this package - </w:t>
      </w:r>
      <w:r>
        <w:rPr>
          <w:rStyle w:val="VerbatimChar"/>
        </w:rPr>
        <w:t>Consent_Form.md</w:t>
      </w:r>
      <w:r>
        <w:rPr/>
        <w:t xml:space="preserve"> - </w:t>
      </w:r>
      <w:r>
        <w:rPr>
          <w:rStyle w:val="VerbatimChar"/>
        </w:rPr>
        <w:t>Study_Protocol.md</w:t>
      </w:r>
      <w:r>
        <w:rPr/>
        <w:t xml:space="preserve"> - </w:t>
      </w:r>
      <w:r>
        <w:rPr>
          <w:rStyle w:val="VerbatimChar"/>
        </w:rPr>
        <w:t>Evaluation_Forms.md</w:t>
      </w:r>
      <w:r>
        <w:rPr/>
        <w:t xml:space="preserve"> - </w:t>
      </w:r>
      <w:r>
        <w:rPr>
          <w:rStyle w:val="VerbatimChar"/>
        </w:rPr>
        <w:t>Quickstart_Local_Testing.md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/>
        <w:t>Document last updated: 2026-01-22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7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8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9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9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9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9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9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9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9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9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9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1"/>
    <w:lvlOverride w:ilvl="0">
      <w:startOverride w:val="1"/>
    </w:lvlOverride>
  </w:num>
  <w:num w:numId="25">
    <w:abstractNumId w:val="3"/>
    <w:lvlOverride w:ilvl="0">
      <w:startOverride w:val="2"/>
    </w:lvlOverride>
  </w:num>
  <w:num w:numId="26">
    <w:abstractNumId w:val="2"/>
  </w:num>
  <w:num w:numId="27">
    <w:abstractNumId w:val="2"/>
  </w:num>
  <w:num w:numId="28">
    <w:abstractNumId w:val="2"/>
  </w:num>
  <w:num w:numId="29">
    <w:abstractNumId w:val="5"/>
    <w:lvlOverride w:ilvl="0">
      <w:startOverride w:val="3"/>
    </w:lvlOverride>
  </w:num>
  <w:num w:numId="30">
    <w:abstractNumId w:val="2"/>
  </w:num>
  <w:num w:numId="31">
    <w:abstractNumId w:val="2"/>
  </w:num>
  <w:num w:numId="32">
    <w:abstractNumId w:val="7"/>
    <w:lvlOverride w:ilvl="0">
      <w:startOverride w:val="4"/>
    </w:lvlOverride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12"/>
    <w:lvlOverride w:ilvl="0">
      <w:startOverride w:val="5"/>
    </w:lvlOverride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  <w:num w:numId="50">
    <w:abstractNumId w:val="2"/>
  </w:num>
  <w:num w:numId="51">
    <w:abstractNumId w:val="2"/>
  </w:num>
  <w:num w:numId="52">
    <w:abstractNumId w:val="15"/>
    <w:lvlOverride w:ilvl="0">
      <w:startOverride w:val="6"/>
    </w:lvlOverride>
  </w:num>
  <w:num w:numId="53">
    <w:abstractNumId w:val="2"/>
  </w:num>
  <w:num w:numId="54">
    <w:abstractNumId w:val="2"/>
  </w:num>
  <w:num w:numId="55">
    <w:abstractNumId w:val="2"/>
  </w:num>
  <w:num w:numId="56">
    <w:abstractNumId w:val="2"/>
  </w:num>
  <w:num w:numId="57">
    <w:abstractNumId w:val="17"/>
    <w:lvlOverride w:ilvl="0">
      <w:startOverride w:val="7"/>
    </w:lvlOverride>
  </w:num>
  <w:num w:numId="58">
    <w:abstractNumId w:val="2"/>
  </w:num>
  <w:num w:numId="59">
    <w:abstractNumId w:val="2"/>
  </w:num>
  <w:num w:numId="60">
    <w:abstractNumId w:val="2"/>
  </w:num>
  <w:num w:numId="61">
    <w:abstractNumId w:val="19"/>
    <w:lvlOverride w:ilvl="0">
      <w:startOverride w:val="8"/>
    </w:lvlOverride>
  </w:num>
  <w:num w:numId="62">
    <w:abstractNumId w:val="2"/>
  </w:num>
  <w:num w:numId="63">
    <w:abstractNumId w:val="2"/>
  </w:num>
  <w:num w:numId="64">
    <w:abstractNumId w:val="2"/>
  </w:num>
  <w:num w:numId="65">
    <w:abstractNumId w:val="21"/>
    <w:lvlOverride w:ilvl="0">
      <w:startOverride w:val="9"/>
    </w:lvlOverride>
  </w:num>
  <w:num w:numId="66">
    <w:abstractNumId w:val="2"/>
  </w:num>
  <w:num w:numId="67">
    <w:abstractNumId w:val="2"/>
  </w:num>
  <w:num w:numId="68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3</Pages>
  <Words>657</Words>
  <Characters>3875</Characters>
  <CharactersWithSpaces>4432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2026-01-22T20:08:16Z</dcterms:created>
  <dc:creator/>
  <dc:description/>
  <dc:language>en-US</dc:language>
  <cp:lastModifiedBy/>
  <dcterms:modified xsi:type="dcterms:W3CDTF">2026-01-22T20:11:17Z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