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Patient Guide — Healing Space Trial</w:t>
      </w:r>
    </w:p>
    <w:p>
      <w:pPr>
        <w:pStyle w:val="BodyText"/>
      </w:pPr>
      <w:r>
        <w:t xml:space="preserve">Purpose</w:t>
      </w:r>
      <w:r>
        <w:t xml:space="preserve"> </w:t>
      </w:r>
      <w:r>
        <w:t xml:space="preserve">- Help participants understand the study, the platform, privacy, and how to use the app safely.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 Welcome &amp; Overview</w:t>
      </w:r>
      <w:r>
        <w:t xml:space="preserve"> </w:t>
      </w:r>
      <w:r>
        <w:t xml:space="preserve">2. Participation &amp; Consent</w:t>
      </w:r>
      <w:r>
        <w:t xml:space="preserve"> </w:t>
      </w:r>
      <w:r>
        <w:t xml:space="preserve">3. How to Use the App</w:t>
      </w:r>
      <w:r>
        <w:t xml:space="preserve"> </w:t>
      </w:r>
      <w:r>
        <w:t xml:space="preserve">4. What To Expect in Sessions</w:t>
      </w:r>
      <w:r>
        <w:t xml:space="preserve"> </w:t>
      </w:r>
      <w:r>
        <w:t xml:space="preserve">5. Data &amp; Privacy</w:t>
      </w:r>
      <w:r>
        <w:t xml:space="preserve"> </w:t>
      </w:r>
      <w:r>
        <w:t xml:space="preserve">6. Safety &amp; Support</w:t>
      </w:r>
      <w:r>
        <w:t xml:space="preserve"> </w:t>
      </w:r>
      <w:r>
        <w:t xml:space="preserve">7. Withdrawal</w:t>
      </w:r>
      <w:r>
        <w:t xml:space="preserve"> </w:t>
      </w:r>
      <w:r>
        <w:t xml:space="preserve">8. FAQ</w:t>
      </w:r>
    </w:p>
    <w:p>
      <w:pPr>
        <w:pStyle w:val="Compact"/>
        <w:numPr>
          <w:ilvl w:val="0"/>
          <w:numId w:val="1001"/>
        </w:numPr>
      </w:pPr>
      <w:r>
        <w:t xml:space="preserve">Welcome &amp; Overview</w:t>
      </w:r>
    </w:p>
    <w:p>
      <w:pPr>
        <w:pStyle w:val="Compact"/>
        <w:numPr>
          <w:ilvl w:val="0"/>
          <w:numId w:val="1002"/>
        </w:numPr>
      </w:pPr>
      <w:r>
        <w:t xml:space="preserve">Healing Space is a digital mental health support platform used for guided conversations, mood tracking, and optional clinician-supported sessions.</w:t>
      </w:r>
    </w:p>
    <w:p>
      <w:pPr>
        <w:pStyle w:val="Compact"/>
        <w:numPr>
          <w:ilvl w:val="0"/>
          <w:numId w:val="1002"/>
        </w:numPr>
      </w:pPr>
      <w:r>
        <w:t xml:space="preserve">As a trial participant you will use the web app to log mood, complete brief questionnaires (PHQ-9, GAD-7), and optionally attend sessions with a student clinician.</w:t>
      </w:r>
    </w:p>
    <w:p>
      <w:pPr>
        <w:pStyle w:val="Compact"/>
        <w:numPr>
          <w:ilvl w:val="0"/>
          <w:numId w:val="1003"/>
        </w:numPr>
      </w:pPr>
      <w:r>
        <w:t xml:space="preserve">Participation &amp; Consent</w:t>
      </w:r>
    </w:p>
    <w:p>
      <w:pPr>
        <w:pStyle w:val="Compact"/>
        <w:numPr>
          <w:ilvl w:val="0"/>
          <w:numId w:val="1004"/>
        </w:numPr>
      </w:pPr>
      <w:r>
        <w:t xml:space="preserve">Voluntary: participation is voluntary. You may withdraw at any time without penalty.</w:t>
      </w:r>
    </w:p>
    <w:p>
      <w:pPr>
        <w:pStyle w:val="Compact"/>
        <w:numPr>
          <w:ilvl w:val="0"/>
          <w:numId w:val="1004"/>
        </w:numPr>
      </w:pPr>
      <w:r>
        <w:t xml:space="preserve">Consent: before joining, you will review and sign the consent form provided by the study team. Sensitive personal data will be protected. See</w:t>
      </w:r>
      <w:r>
        <w:t xml:space="preserve"> </w:t>
      </w:r>
      <w:r>
        <w:rPr>
          <w:rStyle w:val="VerbatimChar"/>
        </w:rPr>
        <w:t xml:space="preserve">Consent_Form.md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How to Use the App (Web users — non-technical)</w:t>
      </w:r>
    </w:p>
    <w:p>
      <w:pPr>
        <w:pStyle w:val="Compact"/>
        <w:numPr>
          <w:ilvl w:val="0"/>
          <w:numId w:val="1006"/>
        </w:numPr>
      </w:pPr>
      <w:r>
        <w:t xml:space="preserve">Access: the study admin will give you a URL and account credentials. Open the URL in a browser and log in.</w:t>
      </w:r>
    </w:p>
    <w:p>
      <w:pPr>
        <w:pStyle w:val="Compact"/>
        <w:numPr>
          <w:ilvl w:val="0"/>
          <w:numId w:val="1006"/>
        </w:numPr>
      </w:pPr>
      <w:r>
        <w:t xml:space="preserve">Dashboard: after logging in you can view mood logs, pet gamification features, and scheduled appointments.</w:t>
      </w:r>
    </w:p>
    <w:p>
      <w:pPr>
        <w:pStyle w:val="Compact"/>
        <w:numPr>
          <w:ilvl w:val="0"/>
          <w:numId w:val="1006"/>
        </w:numPr>
      </w:pPr>
      <w:r>
        <w:t xml:space="preserve">Logging mood: use the</w:t>
      </w:r>
      <w:r>
        <w:t xml:space="preserve"> </w:t>
      </w:r>
      <w:r>
        <w:t xml:space="preserve">“Mood”</w:t>
      </w:r>
      <w:r>
        <w:t xml:space="preserve"> </w:t>
      </w:r>
      <w:r>
        <w:t xml:space="preserve">tab to enter mood, sleep, meds and short notes. Logs help clinicians and researchers understand changes over time.</w:t>
      </w:r>
    </w:p>
    <w:p>
      <w:pPr>
        <w:pStyle w:val="Compact"/>
        <w:numPr>
          <w:ilvl w:val="0"/>
          <w:numId w:val="1006"/>
        </w:numPr>
      </w:pPr>
      <w:r>
        <w:t xml:space="preserve">Chat: optional AI-assisted chat for guided support; not a replacement for crisis care.</w:t>
      </w:r>
    </w:p>
    <w:p>
      <w:pPr>
        <w:pStyle w:val="FirstParagraph"/>
      </w:pPr>
      <w:r>
        <w:t xml:space="preserve">(Developer notes removed) All local installation and developer-facing instructions are managed by the study admin. Participants only need the website URL and credentials provided by the study team.</w:t>
      </w:r>
    </w:p>
    <w:p>
      <w:pPr>
        <w:pStyle w:val="Compact"/>
        <w:numPr>
          <w:ilvl w:val="0"/>
          <w:numId w:val="1007"/>
        </w:numPr>
      </w:pPr>
      <w:r>
        <w:t xml:space="preserve">What To Expect in Sessions</w:t>
      </w:r>
    </w:p>
    <w:p>
      <w:pPr>
        <w:pStyle w:val="Compact"/>
        <w:numPr>
          <w:ilvl w:val="0"/>
          <w:numId w:val="1008"/>
        </w:numPr>
      </w:pPr>
      <w:r>
        <w:t xml:space="preserve">Student clinicians will conduct sessions under supervision.</w:t>
      </w:r>
    </w:p>
    <w:p>
      <w:pPr>
        <w:pStyle w:val="Compact"/>
        <w:numPr>
          <w:ilvl w:val="0"/>
          <w:numId w:val="1008"/>
        </w:numPr>
      </w:pPr>
      <w:r>
        <w:t xml:space="preserve">Sessions may be audio/video or text-based, depending on study settings.</w:t>
      </w:r>
    </w:p>
    <w:p>
      <w:pPr>
        <w:pStyle w:val="Compact"/>
        <w:numPr>
          <w:ilvl w:val="0"/>
          <w:numId w:val="1008"/>
        </w:numPr>
      </w:pPr>
      <w:r>
        <w:t xml:space="preserve">Attendance: clinicians will mark whether you attended; this helps the study track engagement.</w:t>
      </w:r>
    </w:p>
    <w:p>
      <w:pPr>
        <w:pStyle w:val="Compact"/>
        <w:numPr>
          <w:ilvl w:val="0"/>
          <w:numId w:val="1009"/>
        </w:numPr>
      </w:pPr>
      <w:r>
        <w:t xml:space="preserve">Data &amp; Privacy</w:t>
      </w:r>
    </w:p>
    <w:p>
      <w:pPr>
        <w:pStyle w:val="Compact"/>
        <w:numPr>
          <w:ilvl w:val="0"/>
          <w:numId w:val="1010"/>
        </w:numPr>
      </w:pPr>
      <w:r>
        <w:t xml:space="preserve">What is stored: mood logs, clinical scales, chat transcripts, and appointment metadata.</w:t>
      </w:r>
    </w:p>
    <w:p>
      <w:pPr>
        <w:pStyle w:val="Compact"/>
        <w:numPr>
          <w:ilvl w:val="0"/>
          <w:numId w:val="1010"/>
        </w:numPr>
      </w:pPr>
      <w:r>
        <w:t xml:space="preserve">Encryption: PII is encrypted at rest when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is configured by the administrators.</w:t>
      </w:r>
    </w:p>
    <w:p>
      <w:pPr>
        <w:pStyle w:val="Compact"/>
        <w:numPr>
          <w:ilvl w:val="0"/>
          <w:numId w:val="1010"/>
        </w:numPr>
      </w:pPr>
      <w:r>
        <w:t xml:space="preserve">Anonymization: training/analysis data is anonymized per the project’s GDPR workflows; you may opt-out of having your data used for model training.</w:t>
      </w:r>
    </w:p>
    <w:p>
      <w:pPr>
        <w:pStyle w:val="Compact"/>
        <w:numPr>
          <w:ilvl w:val="0"/>
          <w:numId w:val="1011"/>
        </w:numPr>
      </w:pPr>
      <w:r>
        <w:t xml:space="preserve">Safety &amp; Support</w:t>
      </w:r>
    </w:p>
    <w:p>
      <w:pPr>
        <w:pStyle w:val="Compact"/>
        <w:numPr>
          <w:ilvl w:val="0"/>
          <w:numId w:val="1012"/>
        </w:numPr>
      </w:pPr>
      <w:r>
        <w:t xml:space="preserve">If you experience a crisis, contact emergency services immediately.</w:t>
      </w:r>
    </w:p>
    <w:p>
      <w:pPr>
        <w:pStyle w:val="Compact"/>
        <w:numPr>
          <w:ilvl w:val="0"/>
          <w:numId w:val="1012"/>
        </w:numPr>
      </w:pPr>
      <w:r>
        <w:t xml:space="preserve">The app includes automated crisis detection but it is imperfect — always escalate to a clinician if concerned.</w:t>
      </w:r>
    </w:p>
    <w:p>
      <w:pPr>
        <w:pStyle w:val="Compact"/>
        <w:numPr>
          <w:ilvl w:val="0"/>
          <w:numId w:val="1012"/>
        </w:numPr>
      </w:pPr>
      <w:r>
        <w:t xml:space="preserve">Support contacts: your supervising clinician and the study helpline (provided during consent).</w:t>
      </w:r>
    </w:p>
    <w:p>
      <w:pPr>
        <w:pStyle w:val="Compact"/>
        <w:numPr>
          <w:ilvl w:val="0"/>
          <w:numId w:val="1013"/>
        </w:numPr>
      </w:pPr>
      <w:r>
        <w:t xml:space="preserve">Withdrawal</w:t>
      </w:r>
    </w:p>
    <w:p>
      <w:pPr>
        <w:pStyle w:val="Compact"/>
        <w:numPr>
          <w:ilvl w:val="0"/>
          <w:numId w:val="1014"/>
        </w:numPr>
      </w:pPr>
      <w:r>
        <w:t xml:space="preserve">To withdraw, notify the study team. Data already used in analysis may not be removable from derived datasets; raw data can be deleted per GDPR workflows.</w:t>
      </w:r>
    </w:p>
    <w:p>
      <w:pPr>
        <w:pStyle w:val="Compact"/>
        <w:numPr>
          <w:ilvl w:val="0"/>
          <w:numId w:val="1015"/>
        </w:numPr>
      </w:pPr>
      <w:r>
        <w:t xml:space="preserve">FAQ</w:t>
      </w:r>
    </w:p>
    <w:p>
      <w:pPr>
        <w:pStyle w:val="Compact"/>
        <w:numPr>
          <w:ilvl w:val="0"/>
          <w:numId w:val="1016"/>
        </w:numPr>
      </w:pPr>
      <w:r>
        <w:t xml:space="preserve">Q: Is the AI a clinician? A: No. The AI provides supportive prompts only; it does not provide medical advice.</w:t>
      </w:r>
    </w:p>
    <w:p>
      <w:pPr>
        <w:pStyle w:val="Compact"/>
        <w:numPr>
          <w:ilvl w:val="0"/>
          <w:numId w:val="1016"/>
        </w:numPr>
      </w:pPr>
      <w:r>
        <w:t xml:space="preserve">Q: Who can access my data? A: Study team members with approved access; exports are only produced with consent.</w:t>
      </w:r>
    </w:p>
    <w:p>
      <w:pPr>
        <w:pStyle w:val="FirstParagraph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