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4D2E"/>
          <w:sz w:val="64"/>
        </w:rPr>
        <w:t>HEALING SPACE UK</w:t>
      </w:r>
    </w:p>
    <w:p>
      <w:pPr>
        <w:spacing w:after="80"/>
        <w:jc w:val="center"/>
      </w:pPr>
      <w:r>
        <w:rPr>
          <w:color w:val="2E7D4F"/>
          <w:sz w:val="32"/>
        </w:rPr>
        <w:t>Evidence-Based Digital Mental Health</w:t>
      </w:r>
    </w:p>
    <w:p>
      <w:pPr>
        <w:spacing w:after="800"/>
        <w:jc w:val="center"/>
        <w:pBdr>
          <w:bottom w:val="single" w:sz="6" w:space="1" w:color="2E7D4F"/>
        </w:pBdr>
      </w:pPr>
    </w:p>
    <w:p>
      <w:pPr>
        <w:spacing w:after="240"/>
        <w:jc w:val="center"/>
      </w:pPr>
      <w:r>
        <w:rPr>
          <w:b/>
          <w:color w:val="2D2D2D"/>
          <w:sz w:val="44"/>
        </w:rPr>
        <w:t>Angel Investor Business Plan</w:t>
      </w:r>
    </w:p>
    <w:p>
      <w:pPr>
        <w:spacing w:after="1200"/>
        <w:jc w:val="center"/>
      </w:pPr>
      <w:r>
        <w:rPr>
          <w:color w:val="555555"/>
          <w:sz w:val="28"/>
        </w:rPr>
        <w:t>Seed Round  |  £350,000</w:t>
      </w:r>
    </w:p>
    <w:tbl>
      <w:tblPr>
        <w:tblW w:type="auto" w:w="0"/>
        <w:jc w:val="center"/>
        <w:tblLook w:firstColumn="1" w:firstRow="1" w:lastColumn="0" w:lastRow="0" w:noHBand="0" w:noVBand="1" w:val="04A0"/>
      </w:tblPr>
      <w:tblGrid>
        <w:gridCol w:w="4561"/>
        <w:gridCol w:w="4561"/>
      </w:tblGrid>
      <w:tr>
        <w:tc>
          <w:tcPr>
            <w:tcW w:type="dxa" w:w="4561"/>
          </w:tcPr>
          <w:p>
            <w:pPr>
              <w:jc w:val="center"/>
            </w:pPr>
            <w:r>
              <w:rPr>
                <w:b/>
                <w:sz w:val="20"/>
              </w:rPr>
              <w:t>Date</w:t>
            </w:r>
          </w:p>
        </w:tc>
        <w:tc>
          <w:tcPr>
            <w:tcW w:type="dxa" w:w="4561"/>
          </w:tcPr>
          <w:p>
            <w:pPr>
              <w:jc w:val="center"/>
            </w:pPr>
            <w:r>
              <w:rPr>
                <w:sz w:val="20"/>
              </w:rPr>
              <w:t>February 2026</w:t>
            </w:r>
          </w:p>
        </w:tc>
      </w:tr>
      <w:tr>
        <w:tc>
          <w:tcPr>
            <w:tcW w:type="dxa" w:w="4561"/>
          </w:tcPr>
          <w:p>
            <w:pPr>
              <w:jc w:val="center"/>
            </w:pPr>
            <w:r>
              <w:rPr>
                <w:b/>
                <w:sz w:val="20"/>
              </w:rPr>
              <w:t>Classification</w:t>
            </w:r>
          </w:p>
        </w:tc>
        <w:tc>
          <w:tcPr>
            <w:tcW w:type="dxa" w:w="4561"/>
          </w:tcPr>
          <w:p>
            <w:pPr>
              <w:jc w:val="center"/>
            </w:pPr>
            <w:r>
              <w:rPr>
                <w:sz w:val="20"/>
              </w:rPr>
              <w:t>Strictly Confidential</w:t>
            </w:r>
          </w:p>
        </w:tc>
      </w:tr>
      <w:tr>
        <w:tc>
          <w:tcPr>
            <w:tcW w:type="dxa" w:w="4561"/>
          </w:tcPr>
          <w:p>
            <w:pPr>
              <w:jc w:val="center"/>
            </w:pPr>
            <w:r>
              <w:rPr>
                <w:b/>
                <w:sz w:val="20"/>
              </w:rPr>
              <w:t>Document Version</w:t>
            </w:r>
          </w:p>
        </w:tc>
        <w:tc>
          <w:tcPr>
            <w:tcW w:type="dxa" w:w="4561"/>
          </w:tcPr>
          <w:p>
            <w:pPr>
              <w:jc w:val="center"/>
            </w:pPr>
            <w:r>
              <w:rPr>
                <w:sz w:val="20"/>
              </w:rPr>
              <w:t>1.0</w:t>
            </w:r>
          </w:p>
        </w:tc>
      </w:tr>
      <w:tr>
        <w:tc>
          <w:tcPr>
            <w:tcW w:type="dxa" w:w="4561"/>
          </w:tcPr>
          <w:p>
            <w:pPr>
              <w:jc w:val="center"/>
            </w:pPr>
            <w:r>
              <w:rPr>
                <w:b/>
                <w:sz w:val="20"/>
              </w:rPr>
              <w:t>Website</w:t>
            </w:r>
          </w:p>
        </w:tc>
        <w:tc>
          <w:tcPr>
            <w:tcW w:type="dxa" w:w="4561"/>
          </w:tcPr>
          <w:p>
            <w:pPr>
              <w:jc w:val="center"/>
            </w:pPr>
            <w:r>
              <w:rPr>
                <w:sz w:val="20"/>
              </w:rPr>
              <w:t>healing-space.org.uk</w:t>
            </w:r>
          </w:p>
        </w:tc>
      </w:tr>
    </w:tbl>
    <w:p/>
    <w:p>
      <w:pPr>
        <w:spacing w:before="600"/>
        <w:jc w:val="center"/>
      </w:pPr>
      <w:r>
        <w:rPr>
          <w:i/>
          <w:color w:val="555555"/>
          <w:sz w:val="18"/>
        </w:rPr>
        <w:t>This document is confidential and intended solely for the named recipient. It does not constitute an offer or financial advice. Investment in early-stage companies carries significant risk, including the risk of total loss of capital. Please seek independent financial advice before investing.</w:t>
        <w:br/>
        <w:t>© 2026 Healing Space UK Ltd. All rights reserved.</w:t>
      </w:r>
    </w:p>
    <w:p>
      <w:r>
        <w:br w:type="page"/>
      </w:r>
    </w:p>
    <w:p>
      <w:pPr>
        <w:spacing w:before="360" w:after="120"/>
        <w:pBdr>
          <w:bottom w:val="single" w:sz="6" w:space="1" w:color="D4E8DA"/>
        </w:pBdr>
      </w:pPr>
      <w:r>
        <w:rPr>
          <w:b/>
          <w:color w:val="1A4D2E"/>
          <w:sz w:val="32"/>
        </w:rPr>
        <w:t>1.  Executive Summary</w:t>
      </w:r>
    </w:p>
    <w:p>
      <w:pPr>
        <w:spacing w:after="160" w:before="0"/>
      </w:pPr>
      <w:r>
        <w:rPr>
          <w:color w:val="2D2D2D"/>
          <w:sz w:val="22"/>
        </w:rPr>
        <w:t>Mental health is now the single biggest unmet clinical need in the UK. One in four adults will experience a mental health problem this year, yet three quarters of them will receive no treatment at all. NHS waiting times for psychological therapies stretch past eighteen months in many areas, and the system has no realistic way to meet that demand through traditional staffing alone. The annual economic cost of mental illness in England is £105 billion — and that figure is rising.</w:t>
      </w:r>
    </w:p>
    <w:p>
      <w:pPr>
        <w:spacing w:after="160" w:before="0"/>
      </w:pPr>
      <w:r>
        <w:rPr>
          <w:color w:val="2D2D2D"/>
          <w:sz w:val="22"/>
        </w:rPr>
        <w:t>Healing Space UK has built the platform that changes this. Over 1,057 hours of focused development we have created a production-grade digital mental health system that is already running in active NHS clinical trials. It gives patients a structured, clinically validated companion available around the clock. It gives clinicians a dashboard that cuts their administrative overhead in half and puts the highest-risk patients front and centre. And it gives NHS commissioners a way to extend their capacity without adding headcount.</w:t>
      </w:r>
    </w:p>
    <w:p>
      <w:pPr>
        <w:spacing w:after="160" w:before="0"/>
      </w:pPr>
      <w:r>
        <w:rPr>
          <w:color w:val="2D2D2D"/>
          <w:sz w:val="22"/>
        </w:rPr>
        <w:t>A commercial agency would charge £125,000–£200,000 to build what we have already shipped. We have done it at a fraction of that cost, and it is live, in clinical use, and generating real outcome data today.</w:t>
      </w:r>
    </w:p>
    <w:p>
      <w:pPr>
        <w:spacing w:before="240" w:after="120"/>
      </w:pPr>
      <w:r>
        <w:rPr>
          <w:b/>
          <w:color w:val="2E7D4F"/>
          <w:sz w:val="26"/>
        </w:rPr>
        <w:t>What We Are Raising</w:t>
      </w:r>
    </w:p>
    <w:p>
      <w:pPr>
        <w:spacing w:after="160" w:before="0"/>
      </w:pPr>
      <w:r>
        <w:rPr>
          <w:color w:val="2D2D2D"/>
          <w:sz w:val="22"/>
        </w:rPr>
        <w:t>We are seeking £350,000 in a Seed round — structured as SEIS/EIS-qualifying equity at a £1.5 million pre-money valuation, or as a convertible note with a £3 million valuation cap and a 20% conversion discount. The funding covers three priorities: completing the NHS clinical trial and converting it to a first paid contract, hiring a CTO, Clinical Lead and Sales Director, and reaching Series A readiness within eighteen months.</w:t>
      </w:r>
    </w:p>
    <w:p>
      <w:pPr>
        <w:spacing w:before="240" w:after="120"/>
      </w:pPr>
      <w:r>
        <w:rPr>
          <w:b/>
          <w:color w:val="2E7D4F"/>
          <w:sz w:val="26"/>
        </w:rPr>
        <w:t>Financial Summary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68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Metric</w:t>
            </w:r>
          </w:p>
        </w:tc>
        <w:tc>
          <w:tcPr>
            <w:tcW w:type="dxa" w:w="181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 1</w:t>
            </w:r>
          </w:p>
        </w:tc>
        <w:tc>
          <w:tcPr>
            <w:tcW w:type="dxa" w:w="181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 2</w:t>
            </w:r>
          </w:p>
        </w:tc>
        <w:tc>
          <w:tcPr>
            <w:tcW w:type="dxa" w:w="181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 3</w:t>
            </w:r>
          </w:p>
        </w:tc>
      </w:tr>
      <w:tr>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Trust Contracts</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 (pilot)</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8</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25</w:t>
            </w:r>
          </w:p>
        </w:tc>
      </w:tr>
      <w:tr>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IAPT / Community Contracts</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w:t>
            </w:r>
          </w:p>
        </w:tc>
      </w:tr>
      <w:tr>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Active Users</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2,400</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12,000</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45,000</w:t>
            </w:r>
          </w:p>
        </w:tc>
      </w:tr>
      <w:tr>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Annual Recurring Revenue</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£180K</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£1.38M</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£5.5M</w:t>
            </w:r>
          </w:p>
        </w:tc>
      </w:tr>
      <w:tr>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Gross Margin</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78%</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78%</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78%</w:t>
            </w:r>
          </w:p>
        </w:tc>
      </w:tr>
      <w:tr>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EBITDA</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(£268K)</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£55K</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£2.74M</w:t>
            </w:r>
          </w:p>
        </w:tc>
      </w:tr>
    </w:tbl>
    <w:p/>
    <w:p>
      <w:pPr>
        <w:spacing w:before="240" w:after="120"/>
      </w:pPr>
      <w:r>
        <w:rPr>
          <w:b/>
          <w:color w:val="2E7D4F"/>
          <w:sz w:val="26"/>
        </w:rPr>
        <w:t>Why the Timing Is Right</w:t>
      </w:r>
    </w:p>
    <w:p>
      <w:pPr>
        <w:pStyle w:val="ListBullet"/>
        <w:spacing w:after="80" w:before="0"/>
        <w:ind w:left="283"/>
      </w:pPr>
      <w:r>
        <w:rPr>
          <w:color w:val="2D2D2D"/>
          <w:sz w:val="22"/>
        </w:rPr>
        <w:t>The NHS Long Term Plan commits to 380,000 additional digital mental health service users per year.</w:t>
      </w:r>
    </w:p>
    <w:p>
      <w:pPr>
        <w:pStyle w:val="ListBullet"/>
        <w:spacing w:after="80" w:before="0"/>
        <w:ind w:left="283"/>
      </w:pPr>
      <w:r>
        <w:rPr>
          <w:color w:val="2D2D2D"/>
          <w:sz w:val="22"/>
        </w:rPr>
        <w:t>NICE guidance (NG222, 2022) explicitly endorses digital CBT tools for depression and anxiety.</w:t>
      </w:r>
    </w:p>
    <w:p>
      <w:pPr>
        <w:pStyle w:val="ListBullet"/>
        <w:spacing w:after="80" w:before="0"/>
        <w:ind w:left="283"/>
      </w:pPr>
      <w:r>
        <w:rPr>
          <w:color w:val="2D2D2D"/>
          <w:sz w:val="22"/>
        </w:rPr>
        <w:t>Referrals to NHS mental health services have increased 40% since 2020 — demand the workforce cannot absorb.</w:t>
      </w:r>
    </w:p>
    <w:p>
      <w:pPr>
        <w:pStyle w:val="ListBullet"/>
        <w:spacing w:after="80" w:before="0"/>
        <w:ind w:left="283"/>
      </w:pPr>
      <w:r>
        <w:rPr>
          <w:color w:val="2D2D2D"/>
          <w:sz w:val="22"/>
        </w:rPr>
        <w:t>AI-assisted care has crossed a credibility threshold. Patients and clinicians are ready to engage with it.</w:t>
      </w:r>
    </w:p>
    <w:p>
      <w:pPr>
        <w:pStyle w:val="ListBullet"/>
        <w:spacing w:after="80" w:before="0"/>
        <w:ind w:left="283"/>
      </w:pPr>
      <w:r>
        <w:rPr>
          <w:b/>
          <w:color w:val="2D2D2D"/>
          <w:sz w:val="22"/>
        </w:rPr>
        <w:t>Comparable companies have demonstrated the market:</w:t>
      </w:r>
      <w:r>
        <w:rPr>
          <w:color w:val="2D2D2D"/>
          <w:sz w:val="22"/>
        </w:rPr>
        <w:t xml:space="preserve"> Kooth listed at £117M, Limbic raised £12M Series A.</w:t>
      </w:r>
    </w:p>
    <w:p>
      <w:r>
        <w:br w:type="page"/>
      </w:r>
    </w:p>
    <w:p>
      <w:pPr>
        <w:spacing w:before="360" w:after="120"/>
        <w:pBdr>
          <w:bottom w:val="single" w:sz="6" w:space="1" w:color="D4E8DA"/>
        </w:pBdr>
      </w:pPr>
      <w:r>
        <w:rPr>
          <w:b/>
          <w:color w:val="1A4D2E"/>
          <w:sz w:val="32"/>
        </w:rPr>
        <w:t>2.  The Problem</w:t>
      </w:r>
    </w:p>
    <w:p>
      <w:pPr>
        <w:spacing w:after="160" w:before="0"/>
      </w:pPr>
      <w:r>
        <w:rPr>
          <w:color w:val="2D2D2D"/>
          <w:sz w:val="22"/>
        </w:rPr>
        <w:t>The scale of the mental health crisis in the UK is not in dispute. What is harder to grasp is the systematic way in which the existing system fails the people inside it.</w:t>
      </w:r>
    </w:p>
    <w:p>
      <w:pPr>
        <w:spacing w:before="240" w:after="120"/>
      </w:pPr>
      <w:r>
        <w:rPr>
          <w:b/>
          <w:color w:val="2E7D4F"/>
          <w:sz w:val="26"/>
        </w:rPr>
        <w:t>The numbers</w:t>
      </w:r>
    </w:p>
    <w:p>
      <w:pPr>
        <w:spacing w:after="160" w:before="0"/>
      </w:pPr>
      <w:r>
        <w:rPr>
          <w:color w:val="2D2D2D"/>
          <w:sz w:val="22"/>
        </w:rPr>
        <w:t>In any given year, one in four adults in the UK experiences a mental health problem. Of that group, 75% receive no treatment. NHS waiting times for psychological therapies average eighteen weeks nationally, and exceed a year in many areas. Suicide remains the leading cause of death in people aged twenty to thirty-four. The Centre for Mental Health puts the total annual cost to the English economy at £105 billion — £34 billion in lost productivity, £15 billion in NHS treatment costs, and £56 billion in reduced quality of life.</w:t>
      </w:r>
    </w:p>
    <w:p>
      <w:pPr>
        <w:spacing w:before="240" w:after="120"/>
      </w:pPr>
      <w:r>
        <w:rPr>
          <w:b/>
          <w:color w:val="2E7D4F"/>
          <w:sz w:val="26"/>
        </w:rPr>
        <w:t>The workforce problem</w:t>
      </w:r>
    </w:p>
    <w:p>
      <w:pPr>
        <w:spacing w:after="160" w:before="0"/>
      </w:pPr>
      <w:r>
        <w:rPr>
          <w:color w:val="2D2D2D"/>
          <w:sz w:val="22"/>
        </w:rPr>
        <w:t>There is roughly one NHS mental health professional for every 1,500 people who need support. That ratio has not improved in a decade. Forty per cent of NHS mental health staff reported burnout in 2024. Clinicians currently spend 30–40% of their working time on administration that technology could handle. Patients on waiting lists receive nothing — no check-in, no self-help tools, no monitoring — between referral and first appointment.</w:t>
      </w:r>
    </w:p>
    <w:p>
      <w:pPr>
        <w:spacing w:before="240" w:after="120"/>
      </w:pPr>
      <w:r>
        <w:rPr>
          <w:b/>
          <w:color w:val="2E7D4F"/>
          <w:sz w:val="26"/>
        </w:rPr>
        <w:t>Why existing digital tools have not solved it</w:t>
      </w:r>
    </w:p>
    <w:p>
      <w:pPr>
        <w:spacing w:after="160" w:before="0"/>
      </w:pPr>
      <w:r>
        <w:rPr>
          <w:color w:val="2D2D2D"/>
          <w:sz w:val="22"/>
        </w:rPr>
        <w:t>A range of apps and platforms have entered this space over the past decade, but none have filled the gap. Most consumer apps have no clinical validation and no integration with NHS workflows. The enterprise tools that do have NHS relationships — SilverCloud, Kooth — are either priced out of many service budgets or restricted to specific populations (youth mental health, low-intensity IAPT). None of the market leaders combine advanced AI, real-time crisis detection, clinician dashboards, and comprehensive outcome measurement in a single platform at NHS-accessible price points. That is the gap Healing Space UK was designed to fill.</w:t>
      </w:r>
    </w:p>
    <w:tbl>
      <w:tblPr>
        <w:tblStyle w:val="TableGrid"/>
        <w:tblW w:type="auto" w:w="0"/>
        <w:jc w:val="left"/>
        <w:tblLook w:firstColumn="1" w:firstRow="1" w:lastColumn="0" w:lastRow="0" w:noHBand="0" w:noVBand="1" w:val="04A0"/>
      </w:tblPr>
      <w:tblGrid>
        <w:gridCol w:w="3041"/>
        <w:gridCol w:w="3041"/>
        <w:gridCol w:w="3041"/>
      </w:tblGrid>
      <w:tr>
        <w:tc>
          <w:tcPr>
            <w:tcW w:type="dxa" w:w="3118"/>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Problem</w:t>
            </w:r>
          </w:p>
        </w:tc>
        <w:tc>
          <w:tcPr>
            <w:tcW w:type="dxa" w:w="255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Scale</w:t>
            </w:r>
          </w:p>
        </w:tc>
        <w:tc>
          <w:tcPr>
            <w:tcW w:type="dxa" w:w="368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Current Solutions</w:t>
            </w:r>
          </w:p>
        </w:tc>
      </w:tr>
      <w:tr>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waiting times 18+ months</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1.6M on waiting list</w:t>
            </w:r>
          </w:p>
        </w:tc>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None</w:t>
            </w:r>
          </w:p>
        </w:tc>
      </w:tr>
      <w:tr>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75% of patients receive no treatment</w:t>
            </w:r>
          </w:p>
        </w:tc>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16M people/year</w:t>
            </w:r>
          </w:p>
        </w:tc>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Consumer apps — no clinical validation</w:t>
            </w:r>
          </w:p>
        </w:tc>
      </w:tr>
      <w:tr>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Clinician admin: 30–40% of working time</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System-wide</w:t>
            </w:r>
          </w:p>
        </w:tc>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EHR systems — not therapy-focused</w:t>
            </w:r>
          </w:p>
        </w:tc>
      </w:tr>
      <w:tr>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 between-session patient support</w:t>
            </w:r>
          </w:p>
        </w:tc>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All NHS patients on waiting lists</w:t>
            </w:r>
          </w:p>
        </w:tc>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Mostly leaflets</w:t>
            </w:r>
          </w:p>
        </w:tc>
      </w:tr>
      <w:tr>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Risk escalation too slow</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Avoidable inpatient admissions</w:t>
            </w:r>
          </w:p>
        </w:tc>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Manual clinician review</w:t>
            </w:r>
          </w:p>
        </w:tc>
      </w:tr>
    </w:tbl>
    <w:p/>
    <w:p>
      <w:r>
        <w:br w:type="page"/>
      </w:r>
    </w:p>
    <w:p>
      <w:pPr>
        <w:spacing w:before="360" w:after="120"/>
        <w:pBdr>
          <w:bottom w:val="single" w:sz="6" w:space="1" w:color="D4E8DA"/>
        </w:pBdr>
      </w:pPr>
      <w:r>
        <w:rPr>
          <w:b/>
          <w:color w:val="1A4D2E"/>
          <w:sz w:val="32"/>
        </w:rPr>
        <w:t>3.  Our Solution</w:t>
      </w:r>
    </w:p>
    <w:p>
      <w:pPr>
        <w:spacing w:after="160" w:before="0"/>
      </w:pPr>
      <w:r>
        <w:rPr>
          <w:color w:val="2D2D2D"/>
          <w:sz w:val="22"/>
        </w:rPr>
        <w:t>Healing Space UK is a full-stack digital mental health platform built around three distinct user groups, each with specific needs that the platform addresses directly.</w:t>
      </w:r>
    </w:p>
    <w:p>
      <w:pPr>
        <w:spacing w:before="240" w:after="120"/>
      </w:pPr>
      <w:r>
        <w:rPr>
          <w:b/>
          <w:color w:val="2E7D4F"/>
          <w:sz w:val="26"/>
        </w:rPr>
        <w:t>For patients</w:t>
      </w:r>
    </w:p>
    <w:p>
      <w:pPr>
        <w:spacing w:after="160" w:before="0"/>
      </w:pPr>
      <w:r>
        <w:rPr>
          <w:color w:val="2D2D2D"/>
          <w:sz w:val="22"/>
        </w:rPr>
        <w:t>Patients get a structured, private companion available twenty-four hours a day. They work through seventeen evidence-based CBT modules — thought records, behavioural experiments, exposure planning, core belief work, coping card creation — alongside daily mood, sleep and anxiety logging that builds a picture of their mental health over time. An AI-powered therapy chat draws on this history to provide contextually appropriate responses. A permanent SOS button on every screen connects directly to crisis services. For patients on NHS waiting lists, this is often the first clinical-grade support they have ever had access to.</w:t>
      </w:r>
    </w:p>
    <w:p>
      <w:pPr>
        <w:spacing w:before="240" w:after="120"/>
      </w:pPr>
      <w:r>
        <w:rPr>
          <w:b/>
          <w:color w:val="2E7D4F"/>
          <w:sz w:val="26"/>
        </w:rPr>
        <w:t>For clinicians</w:t>
      </w:r>
    </w:p>
    <w:p>
      <w:pPr>
        <w:spacing w:after="160" w:before="0"/>
      </w:pPr>
      <w:r>
        <w:rPr>
          <w:color w:val="2D2D2D"/>
          <w:sz w:val="22"/>
        </w:rPr>
        <w:t>Clinicians see their entire caseload on a single dashboard, colour-coded by risk level. The platform monitors every patient's engagement and flags deterioration automatically — a clinician does not need to wait for an appointment to know that a patient's mood has declined over the past two weeks. Session notes in SOAP and BIRP formats, treatment plan co-creation with patients, and one-click generation of outcome reports all sit within the same interface. The goal is straightforward: a clinician should spend their time doing therapy, not administration.</w:t>
      </w:r>
    </w:p>
    <w:p>
      <w:pPr>
        <w:spacing w:before="240" w:after="120"/>
      </w:pPr>
      <w:r>
        <w:rPr>
          <w:b/>
          <w:color w:val="2E7D4F"/>
          <w:sz w:val="26"/>
        </w:rPr>
        <w:t>For healthcare organisations</w:t>
      </w:r>
    </w:p>
    <w:p>
      <w:pPr>
        <w:spacing w:after="160" w:before="0"/>
      </w:pPr>
      <w:r>
        <w:rPr>
          <w:color w:val="2D2D2D"/>
          <w:sz w:val="22"/>
        </w:rPr>
        <w:t>NHS Trusts and IAPT services need to demonstrate outcomes, manage demand, and stay within budget. Healing Space UK gives them a compliant, audit-ready platform that extends clinical capacity without adding headcount. Every assessment, every session note, every outcome score is stored in a seven-year immutable audit log. FHIR-compatible data export ensures compatibility with NHS infrastructure. The estimated cost saving versus traditional care alone is £2,400–£3,600 per patient per year.</w:t>
      </w:r>
    </w:p>
    <w:p>
      <w:pPr>
        <w:spacing w:before="240" w:after="120"/>
      </w:pPr>
      <w:r>
        <w:rPr>
          <w:b/>
          <w:color w:val="2E7D4F"/>
          <w:sz w:val="26"/>
        </w:rPr>
        <w:t>Core technical capabilities</w:t>
      </w:r>
    </w:p>
    <w:p>
      <w:pPr>
        <w:spacing w:after="40" w:before="0"/>
      </w:pPr>
      <w:r>
        <w:rPr>
          <w:color w:val="2D2D2D"/>
          <w:sz w:val="22"/>
        </w:rPr>
        <w:t>AI Therapy Engine</w:t>
      </w:r>
    </w:p>
    <w:p>
      <w:pPr>
        <w:spacing w:after="160"/>
        <w:ind w:left="283"/>
      </w:pPr>
      <w:r>
        <w:rPr>
          <w:color w:val="2D2D2D"/>
          <w:sz w:val="22"/>
        </w:rPr>
        <w:t>The therapy conversation layer runs on Groq's API with the Llama 3.3 70B model, selected for low latency (sub-2-second responses) and strong instruction-following. It maintains a persistent memory of the patient's history, goal progress and risk profile, adapting its approach based on current clinical scores. All user data passed to the model is sanitised through a prompt injection filter before each call. If the model detects crisis language, it escalates to the clinician in under sixty seconds.</w:t>
      </w:r>
    </w:p>
    <w:p>
      <w:pPr>
        <w:spacing w:after="40" w:before="0"/>
      </w:pPr>
      <w:r>
        <w:rPr>
          <w:color w:val="2D2D2D"/>
          <w:sz w:val="22"/>
        </w:rPr>
        <w:t>Risk Scoring Engine</w:t>
      </w:r>
    </w:p>
    <w:p>
      <w:pPr>
        <w:spacing w:after="160"/>
        <w:ind w:left="283"/>
      </w:pPr>
      <w:r>
        <w:rPr>
          <w:color w:val="2D2D2D"/>
          <w:sz w:val="22"/>
        </w:rPr>
        <w:t>A composite risk score (0–100) combines a clinical score drawn from PHQ-9, GAD-7 and C-SSRS assessments, a behavioural score based on engagement patterns and mood trends, and a conversational score from real-time keyword analysis in chat sessions. The resulting risk level — low, moderate, high or critical — updates continuously and drives how clinicians prioritise their caseload.</w:t>
      </w:r>
    </w:p>
    <w:p>
      <w:pPr>
        <w:spacing w:after="40" w:before="0"/>
      </w:pPr>
      <w:r>
        <w:rPr>
          <w:color w:val="2D2D2D"/>
          <w:sz w:val="22"/>
        </w:rPr>
        <w:t>Columbia Suicide Severity Rating Scale (C-SSRS)</w:t>
      </w:r>
    </w:p>
    <w:p>
      <w:pPr>
        <w:spacing w:after="160"/>
        <w:ind w:left="283"/>
      </w:pPr>
      <w:r>
        <w:rPr>
          <w:color w:val="2D2D2D"/>
          <w:sz w:val="22"/>
        </w:rPr>
        <w:t>We implement the full C-SSRS structured interview — one of very few digital platforms to do so. This is a validated, standardised suicide risk assessment tool used by NHS trusts and NICE-accredited services. Automated severity scoring, clinician alerts, and a full medico-legal audit trail are included.</w:t>
      </w:r>
    </w:p>
    <w:p>
      <w:r>
        <w:br w:type="page"/>
      </w:r>
    </w:p>
    <w:p>
      <w:pPr>
        <w:spacing w:before="360" w:after="120"/>
        <w:pBdr>
          <w:bottom w:val="single" w:sz="6" w:space="1" w:color="D4E8DA"/>
        </w:pBdr>
      </w:pPr>
      <w:r>
        <w:rPr>
          <w:b/>
          <w:color w:val="1A4D2E"/>
          <w:sz w:val="32"/>
        </w:rPr>
        <w:t>4.  Market Opportunity</w:t>
      </w:r>
    </w:p>
    <w:p>
      <w:pPr>
        <w:spacing w:before="240" w:after="120"/>
      </w:pPr>
      <w:r>
        <w:rPr>
          <w:b/>
          <w:color w:val="2E7D4F"/>
          <w:sz w:val="26"/>
        </w:rPr>
        <w:t>Total Addressable Market</w:t>
      </w:r>
    </w:p>
    <w:p>
      <w:pPr>
        <w:spacing w:after="160" w:before="0"/>
      </w:pPr>
      <w:r>
        <w:rPr>
          <w:color w:val="2D2D2D"/>
          <w:sz w:val="22"/>
        </w:rPr>
        <w:t>The global digital mental health market is growing at around 16.5% per year and was valued at $7.9 billion in 2024. In the UK specifically, the digital mental health segment is worth £420 million today and is forecast to reach £1.1 billion by 2030. The NHS spends £820 million per year on psychological therapies through its IAPT programme alone. When corporate wellness is included, the total UK addressable market exceeds £3.4 billion.</w:t>
      </w:r>
    </w:p>
    <w:p>
      <w:pPr>
        <w:spacing w:before="240" w:after="120"/>
      </w:pPr>
      <w:r>
        <w:rPr>
          <w:b/>
          <w:color w:val="2E7D4F"/>
          <w:sz w:val="26"/>
        </w:rPr>
        <w:t>Serviceable Addressable Market</w:t>
      </w:r>
    </w:p>
    <w:p>
      <w:pPr>
        <w:spacing w:after="160" w:before="0"/>
      </w:pPr>
      <w:r>
        <w:rPr>
          <w:color w:val="2D2D2D"/>
          <w:sz w:val="22"/>
        </w:rPr>
        <w:t>Our primary channel is NHS Mental Health Trusts and IAPT services. There are 57 NHS Mental Health Trusts in England, with comparable contracts in adjacent markets (Scotland, Wales, Northern Ireland, Ireland). Enterprise NHS Trust contracts run at £1.5–3 million per year. The 110+ IAPT services nationally represent smaller but faster-moving contracts at £60,000–£400,000 per year. With private healthcare (Priory Group, Nuffield Health, BUPA), corporate wellness, and university partnerships added, our serviceable market is well above £280 million ARR in the UK alone.</w:t>
      </w:r>
    </w:p>
    <w:p>
      <w:pPr>
        <w:spacing w:before="240" w:after="120"/>
      </w:pPr>
      <w:r>
        <w:rPr>
          <w:b/>
          <w:color w:val="2E7D4F"/>
          <w:sz w:val="26"/>
        </w:rPr>
        <w:t>Three-Year Obtainable Target</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13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NHS Trusts</w:t>
            </w:r>
          </w:p>
        </w:tc>
        <w:tc>
          <w:tcPr>
            <w:tcW w:type="dxa" w:w="198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IAPT / Community</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Corporate</w:t>
            </w:r>
          </w:p>
        </w:tc>
        <w:tc>
          <w:tcPr>
            <w:tcW w:type="dxa" w:w="181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Active Users</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ARR</w:t>
            </w:r>
          </w:p>
        </w:tc>
      </w:tr>
      <w:tr>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 (pilot)</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2,400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£180K</w:t>
            </w:r>
          </w:p>
        </w:tc>
      </w:tr>
      <w:tr>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8</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£1.38M</w:t>
            </w:r>
          </w:p>
        </w:tc>
      </w:tr>
      <w:tr>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25</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45,000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£5.5M</w:t>
            </w:r>
          </w:p>
        </w:tc>
      </w:tr>
    </w:tbl>
    <w:p/>
    <w:p>
      <w:pPr>
        <w:spacing w:after="160" w:before="0"/>
      </w:pPr>
      <w:r>
        <w:rPr>
          <w:color w:val="2D2D2D"/>
          <w:sz w:val="22"/>
        </w:rPr>
        <w:t>The Year 3 target of £5.5M ARR represents approximately 2% of our serviceable market — a deliberately conservative estimate that accounts for NHS procurement timelines and the gradual ramp from pilot to enterprise contract value.</w:t>
      </w:r>
    </w:p>
    <w:p>
      <w:pPr>
        <w:spacing w:before="240" w:after="120"/>
      </w:pPr>
      <w:r>
        <w:rPr>
          <w:b/>
          <w:color w:val="2E7D4F"/>
          <w:sz w:val="26"/>
        </w:rPr>
        <w:t>Why This Market, Why Now</w:t>
      </w:r>
    </w:p>
    <w:p>
      <w:pPr>
        <w:pStyle w:val="ListBullet"/>
        <w:spacing w:after="80" w:before="0"/>
        <w:ind w:left="283"/>
      </w:pPr>
      <w:r>
        <w:rPr>
          <w:b/>
          <w:color w:val="2D2D2D"/>
          <w:sz w:val="22"/>
        </w:rPr>
        <w:t>NHS Long Term Plan:</w:t>
      </w:r>
      <w:r>
        <w:rPr>
          <w:color w:val="2D2D2D"/>
          <w:sz w:val="22"/>
        </w:rPr>
        <w:t xml:space="preserve"> mandates 380,000 additional people per year accessing NHS-funded digital mental health services.</w:t>
      </w:r>
    </w:p>
    <w:p>
      <w:pPr>
        <w:pStyle w:val="ListBullet"/>
        <w:spacing w:after="80" w:before="0"/>
        <w:ind w:left="283"/>
      </w:pPr>
      <w:r>
        <w:rPr>
          <w:b/>
          <w:color w:val="2D2D2D"/>
          <w:sz w:val="22"/>
        </w:rPr>
        <w:t>NHSE Digital Investment:</w:t>
      </w:r>
      <w:r>
        <w:rPr>
          <w:color w:val="2D2D2D"/>
          <w:sz w:val="22"/>
        </w:rPr>
        <w:t xml:space="preserve"> £2.3 billion committed to digital health transformation from 2022–2025.</w:t>
      </w:r>
    </w:p>
    <w:p>
      <w:pPr>
        <w:pStyle w:val="ListBullet"/>
        <w:spacing w:after="80" w:before="0"/>
        <w:ind w:left="283"/>
      </w:pPr>
      <w:r>
        <w:rPr>
          <w:b/>
          <w:color w:val="2D2D2D"/>
          <w:sz w:val="22"/>
        </w:rPr>
        <w:t>NICE NG222 (2022):</w:t>
      </w:r>
      <w:r>
        <w:rPr>
          <w:color w:val="2D2D2D"/>
          <w:sz w:val="22"/>
        </w:rPr>
        <w:t xml:space="preserve"> specifically endorses digital CBT tools for depression, anxiety, and PTSD — the diseases our platform addresses.</w:t>
      </w:r>
    </w:p>
    <w:p>
      <w:pPr>
        <w:pStyle w:val="ListBullet"/>
        <w:spacing w:after="80" w:before="0"/>
        <w:ind w:left="283"/>
      </w:pPr>
      <w:r>
        <w:rPr>
          <w:b/>
          <w:color w:val="2D2D2D"/>
          <w:sz w:val="22"/>
        </w:rPr>
        <w:t>Post-COVID demand:</w:t>
      </w:r>
      <w:r>
        <w:rPr>
          <w:color w:val="2D2D2D"/>
          <w:sz w:val="22"/>
        </w:rPr>
        <w:t xml:space="preserve"> a 40% increase in mental health referrals since 2020, with no corresponding workforce growth.</w:t>
      </w:r>
    </w:p>
    <w:p>
      <w:pPr>
        <w:pStyle w:val="ListBullet"/>
        <w:spacing w:after="80" w:before="0"/>
        <w:ind w:left="283"/>
      </w:pPr>
      <w:r>
        <w:rPr>
          <w:b/>
          <w:color w:val="2D2D2D"/>
          <w:sz w:val="22"/>
        </w:rPr>
        <w:t>Regulatory clarity:</w:t>
      </w:r>
      <w:r>
        <w:rPr>
          <w:color w:val="2D2D2D"/>
          <w:sz w:val="22"/>
        </w:rPr>
        <w:t xml:space="preserve"> the MHRA has published clear guidance on AI-assisted (non-diagnostic) digital health tools, reducing compliance uncertainty.</w:t>
      </w:r>
    </w:p>
    <w:p>
      <w:r>
        <w:br w:type="page"/>
      </w:r>
    </w:p>
    <w:p>
      <w:pPr>
        <w:spacing w:before="360" w:after="120"/>
        <w:pBdr>
          <w:bottom w:val="single" w:sz="6" w:space="1" w:color="D4E8DA"/>
        </w:pBdr>
      </w:pPr>
      <w:r>
        <w:rPr>
          <w:b/>
          <w:color w:val="1A4D2E"/>
          <w:sz w:val="32"/>
        </w:rPr>
        <w:t>5.  Product &amp; Technology</w:t>
      </w:r>
    </w:p>
    <w:p>
      <w:pPr>
        <w:spacing w:before="240" w:after="120"/>
      </w:pPr>
      <w:r>
        <w:rPr>
          <w:b/>
          <w:color w:val="2E7D4F"/>
          <w:sz w:val="26"/>
        </w:rPr>
        <w:t>Platform overview</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Component</w:t>
            </w:r>
          </w:p>
        </w:tc>
        <w:tc>
          <w:tcPr>
            <w:tcW w:type="dxa" w:w="3118"/>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Technology</w:t>
            </w:r>
          </w:p>
        </w:tc>
        <w:tc>
          <w:tcPr>
            <w:tcW w:type="dxa" w:w="3969"/>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Scale</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Backend API</w:t>
            </w:r>
          </w:p>
        </w:tc>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Python 3.11 / Flask</w:t>
            </w:r>
          </w:p>
        </w:tc>
        <w:tc>
          <w:tcPr>
            <w:tcW w:type="dxa" w:w="39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325+ endpoints, 17,500 lines of code</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Database</w:t>
            </w:r>
          </w:p>
        </w:tc>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PostgreSQL 15 (Railway)</w:t>
            </w:r>
          </w:p>
        </w:tc>
        <w:tc>
          <w:tcPr>
            <w:tcW w:type="dxa" w:w="39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52+ tables, production-grade</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Frontend</w:t>
            </w:r>
          </w:p>
        </w:tc>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HTML/CSS/JavaScript SPA</w:t>
            </w:r>
          </w:p>
        </w:tc>
        <w:tc>
          <w:tcPr>
            <w:tcW w:type="dxa" w:w="39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17,000 lines</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Mobile</w:t>
            </w:r>
          </w:p>
        </w:tc>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Apache Capacitor</w:t>
            </w:r>
          </w:p>
        </w:tc>
        <w:tc>
          <w:tcPr>
            <w:tcW w:type="dxa" w:w="39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iOS 16+, Android 12+, App Store ready</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AI Engine</w:t>
            </w:r>
          </w:p>
        </w:tc>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Groq API — Llama 3.3 70B</w:t>
            </w:r>
          </w:p>
        </w:tc>
        <w:tc>
          <w:tcPr>
            <w:tcW w:type="dxa" w:w="39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Sub-2-second response time</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Deployment</w:t>
            </w:r>
          </w:p>
        </w:tc>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Railway (London region)</w:t>
            </w:r>
          </w:p>
        </w:tc>
        <w:tc>
          <w:tcPr>
            <w:tcW w:type="dxa" w:w="39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99.9% uptime SLA, auto-deploy on push</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Security</w:t>
            </w:r>
          </w:p>
        </w:tc>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Argon2id, AES-256, CSRF, rate limiting</w:t>
            </w:r>
          </w:p>
        </w:tc>
        <w:tc>
          <w:tcPr>
            <w:tcW w:type="dxa" w:w="39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TIER 0–1 hardening complete</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Test Coverage</w:t>
            </w:r>
          </w:p>
        </w:tc>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Automated test suite</w:t>
            </w:r>
          </w:p>
        </w:tc>
        <w:tc>
          <w:tcPr>
            <w:tcW w:type="dxa" w:w="39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180+ tests, 92% pass rate</w:t>
            </w:r>
          </w:p>
        </w:tc>
      </w:tr>
    </w:tbl>
    <w:p/>
    <w:p>
      <w:pPr>
        <w:spacing w:before="240" w:after="120"/>
      </w:pPr>
      <w:r>
        <w:rPr>
          <w:b/>
          <w:color w:val="2E7D4F"/>
          <w:sz w:val="26"/>
        </w:rPr>
        <w:t>Clinical assessment scales</w:t>
      </w:r>
    </w:p>
    <w:p>
      <w:pPr>
        <w:spacing w:after="160" w:before="0"/>
      </w:pPr>
      <w:r>
        <w:rPr>
          <w:color w:val="2D2D2D"/>
          <w:sz w:val="22"/>
        </w:rPr>
        <w:t>We implement eight validated clinical assessment scales, covering the full range required by NHS commissioners and NICE. This is a meaningful differentiator: most competitors implement one or two.</w:t>
      </w:r>
    </w:p>
    <w:tbl>
      <w:tblPr>
        <w:tblStyle w:val="TableGrid"/>
        <w:tblW w:type="auto" w:w="0"/>
        <w:jc w:val="left"/>
        <w:tblLook w:firstColumn="1" w:firstRow="1" w:lastColumn="0" w:lastRow="0" w:noHBand="0" w:noVBand="1" w:val="04A0"/>
      </w:tblPr>
      <w:tblGrid>
        <w:gridCol w:w="3041"/>
        <w:gridCol w:w="3041"/>
        <w:gridCol w:w="3041"/>
      </w:tblGrid>
      <w:tr>
        <w:tc>
          <w:tcPr>
            <w:tcW w:type="dxa" w:w="1417"/>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Scale</w:t>
            </w:r>
          </w:p>
        </w:tc>
        <w:tc>
          <w:tcPr>
            <w:tcW w:type="dxa" w:w="3402"/>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Full Name</w:t>
            </w:r>
          </w:p>
        </w:tc>
        <w:tc>
          <w:tcPr>
            <w:tcW w:type="dxa" w:w="3118"/>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Clinical Use</w:t>
            </w:r>
          </w:p>
        </w:tc>
      </w:tr>
      <w:tr>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C-SSRS</w:t>
            </w:r>
          </w:p>
        </w:tc>
        <w:tc>
          <w:tcPr>
            <w:tcW w:type="dxa" w:w="340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Columbia-Suicide Severity Rating Scale</w:t>
            </w:r>
          </w:p>
        </w:tc>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Suicide risk stratification</w:t>
            </w:r>
          </w:p>
        </w:tc>
      </w:tr>
      <w:tr>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PHQ-9</w:t>
            </w:r>
          </w:p>
        </w:tc>
        <w:tc>
          <w:tcPr>
            <w:tcW w:type="dxa" w:w="340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Patient Health Questionnaire (9-item)</w:t>
            </w:r>
          </w:p>
        </w:tc>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Depression severity</w:t>
            </w:r>
          </w:p>
        </w:tc>
      </w:tr>
      <w:tr>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GAD-7</w:t>
            </w:r>
          </w:p>
        </w:tc>
        <w:tc>
          <w:tcPr>
            <w:tcW w:type="dxa" w:w="340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Generalised Anxiety Disorder Assessment</w:t>
            </w:r>
          </w:p>
        </w:tc>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Anxiety severity</w:t>
            </w:r>
          </w:p>
        </w:tc>
      </w:tr>
      <w:tr>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CORE-OM</w:t>
            </w:r>
          </w:p>
        </w:tc>
        <w:tc>
          <w:tcPr>
            <w:tcW w:type="dxa" w:w="340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Clinical Outcomes in Routine Evaluation (34-item)</w:t>
            </w:r>
          </w:p>
        </w:tc>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Broad outcome measurement</w:t>
            </w:r>
          </w:p>
        </w:tc>
      </w:tr>
      <w:tr>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CORE-10</w:t>
            </w:r>
          </w:p>
        </w:tc>
        <w:tc>
          <w:tcPr>
            <w:tcW w:type="dxa" w:w="340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CORE brief version</w:t>
            </w:r>
          </w:p>
        </w:tc>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Session-by-session tracking</w:t>
            </w:r>
          </w:p>
        </w:tc>
      </w:tr>
      <w:tr>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WEMWBS</w:t>
            </w:r>
          </w:p>
        </w:tc>
        <w:tc>
          <w:tcPr>
            <w:tcW w:type="dxa" w:w="340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Warwick-Edinburgh Mental Wellbeing Scale</w:t>
            </w:r>
          </w:p>
        </w:tc>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Positive wellbeing measurement</w:t>
            </w:r>
          </w:p>
        </w:tc>
      </w:tr>
      <w:tr>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ORS</w:t>
            </w:r>
          </w:p>
        </w:tc>
        <w:tc>
          <w:tcPr>
            <w:tcW w:type="dxa" w:w="340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Outcome Rating Scale</w:t>
            </w:r>
          </w:p>
        </w:tc>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Session check-in (visual analogue)</w:t>
            </w:r>
          </w:p>
        </w:tc>
      </w:tr>
      <w:tr>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SRS</w:t>
            </w:r>
          </w:p>
        </w:tc>
        <w:tc>
          <w:tcPr>
            <w:tcW w:type="dxa" w:w="340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Session Rating Scale</w:t>
            </w:r>
          </w:p>
        </w:tc>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Therapeutic alliance per session</w:t>
            </w:r>
          </w:p>
        </w:tc>
      </w:tr>
    </w:tbl>
    <w:p/>
    <w:p>
      <w:pPr>
        <w:spacing w:before="240" w:after="120"/>
      </w:pPr>
      <w:r>
        <w:rPr>
          <w:b/>
          <w:color w:val="2E7D4F"/>
          <w:sz w:val="26"/>
        </w:rPr>
        <w:t>Security and compliance</w:t>
      </w:r>
    </w:p>
    <w:p>
      <w:pPr>
        <w:spacing w:after="160" w:before="0"/>
      </w:pPr>
      <w:r>
        <w:rPr>
          <w:color w:val="2D2D2D"/>
          <w:sz w:val="22"/>
        </w:rPr>
        <w:t>Healthcare technology has to be secure from day one, not bolted on later. We completed full TIER 0 and TIER 1 security hardening before any clinical use began. This included parameterised SQL throughout (zero injection surface), CSRF double-submit protection, per-IP and per-user rate limiting, prompt injection sanitisation on all LLM calls, Argon2id password hashing, AES-256 encryption at rest, and a seven-year immutable audit log. NHS Information Governance (IG44) certification and ISO 27001 readiness are targeted for completion within the first six months of this funding round.</w:t>
      </w:r>
    </w:p>
    <w:p>
      <w:pPr>
        <w:spacing w:before="240" w:after="120"/>
      </w:pPr>
      <w:r>
        <w:rPr>
          <w:b/>
          <w:color w:val="2E7D4F"/>
          <w:sz w:val="26"/>
        </w:rPr>
        <w:t>Technology roadmap</w:t>
      </w:r>
    </w:p>
    <w:p>
      <w:pPr>
        <w:spacing w:after="80" w:before="0"/>
      </w:pPr>
      <w:r>
        <w:rPr>
          <w:color w:val="2D2D2D"/>
          <w:sz w:val="22"/>
        </w:rPr>
        <w:t>Seed-funded (next six months):</w:t>
      </w:r>
    </w:p>
    <w:p>
      <w:pPr>
        <w:pStyle w:val="ListBullet"/>
        <w:spacing w:after="80" w:before="0"/>
        <w:ind w:left="283"/>
      </w:pPr>
      <w:r>
        <w:rPr>
          <w:color w:val="2D2D2D"/>
          <w:sz w:val="22"/>
        </w:rPr>
        <w:t>NHS IG44 compliance certification and DCB0129 Clinical Safety Case completion</w:t>
      </w:r>
    </w:p>
    <w:p>
      <w:pPr>
        <w:pStyle w:val="ListBullet"/>
        <w:spacing w:after="80" w:before="0"/>
        <w:ind w:left="283"/>
      </w:pPr>
      <w:r>
        <w:rPr>
          <w:color w:val="2D2D2D"/>
          <w:sz w:val="22"/>
        </w:rPr>
        <w:t>EMIS and SystmOne integration (NHS primary care records)</w:t>
      </w:r>
    </w:p>
    <w:p>
      <w:pPr>
        <w:pStyle w:val="ListBullet"/>
        <w:spacing w:after="80" w:before="0"/>
        <w:ind w:left="283"/>
      </w:pPr>
      <w:r>
        <w:rPr>
          <w:color w:val="2D2D2D"/>
          <w:sz w:val="22"/>
        </w:rPr>
        <w:t>Medication tracker with NHS Dictionary of Medicines and Devices (DM+D) integration</w:t>
      </w:r>
    </w:p>
    <w:p>
      <w:pPr>
        <w:pStyle w:val="ListBullet"/>
        <w:spacing w:after="80" w:before="0"/>
        <w:ind w:left="283"/>
      </w:pPr>
      <w:r>
        <w:rPr>
          <w:color w:val="2D2D2D"/>
          <w:sz w:val="22"/>
        </w:rPr>
        <w:t>GP referral portal and waiting list management</w:t>
      </w:r>
    </w:p>
    <w:p>
      <w:pPr>
        <w:pStyle w:val="ListBullet"/>
        <w:spacing w:after="80" w:before="0"/>
        <w:ind w:left="283"/>
      </w:pPr>
      <w:r>
        <w:rPr>
          <w:color w:val="2D2D2D"/>
          <w:sz w:val="22"/>
        </w:rPr>
        <w:t>Push notification system for iOS and Android</w:t>
      </w:r>
    </w:p>
    <w:p>
      <w:pPr>
        <w:spacing w:after="80" w:before="0"/>
      </w:pPr>
      <w:r>
        <w:rPr>
          <w:color w:val="2D2D2D"/>
          <w:sz w:val="22"/>
        </w:rPr>
        <w:t>Series A-funded (months 12–18):</w:t>
      </w:r>
    </w:p>
    <w:p>
      <w:pPr>
        <w:pStyle w:val="ListBullet"/>
        <w:spacing w:after="80" w:before="0"/>
        <w:ind w:left="283"/>
      </w:pPr>
      <w:r>
        <w:rPr>
          <w:color w:val="2D2D2D"/>
          <w:sz w:val="22"/>
        </w:rPr>
        <w:t>NHS App integration and NHS Login single sign-on</w:t>
      </w:r>
    </w:p>
    <w:p>
      <w:pPr>
        <w:pStyle w:val="ListBullet"/>
        <w:spacing w:after="80" w:before="0"/>
        <w:ind w:left="283"/>
      </w:pPr>
      <w:r>
        <w:rPr>
          <w:color w:val="2D2D2D"/>
          <w:sz w:val="22"/>
        </w:rPr>
        <w:t>HL7 FHIR R4 full compliance for NHS system interoperability</w:t>
      </w:r>
    </w:p>
    <w:p>
      <w:pPr>
        <w:pStyle w:val="ListBullet"/>
        <w:spacing w:after="80" w:before="0"/>
        <w:ind w:left="283"/>
      </w:pPr>
      <w:r>
        <w:rPr>
          <w:color w:val="2D2D2D"/>
          <w:sz w:val="22"/>
        </w:rPr>
        <w:t>Predictive risk modelling using ML trained on anonymised outcomes data</w:t>
      </w:r>
    </w:p>
    <w:p>
      <w:pPr>
        <w:pStyle w:val="ListBullet"/>
        <w:spacing w:after="80" w:before="0"/>
        <w:ind w:left="283"/>
      </w:pPr>
      <w:r>
        <w:rPr>
          <w:color w:val="2D2D2D"/>
          <w:sz w:val="22"/>
        </w:rPr>
        <w:t>Multi-language support (Welsh, Punjabi, Urdu — NHS priority languages)</w:t>
      </w:r>
    </w:p>
    <w:p>
      <w:pPr>
        <w:pStyle w:val="ListBullet"/>
        <w:spacing w:after="80" w:before="0"/>
        <w:ind w:left="283"/>
      </w:pPr>
      <w:r>
        <w:rPr>
          <w:color w:val="2D2D2D"/>
          <w:sz w:val="22"/>
        </w:rPr>
        <w:t>White-label API for private healthcare and enterprise clients</w:t>
      </w:r>
    </w:p>
    <w:p>
      <w:r>
        <w:br w:type="page"/>
      </w:r>
    </w:p>
    <w:p>
      <w:pPr>
        <w:spacing w:before="360" w:after="120"/>
        <w:pBdr>
          <w:bottom w:val="single" w:sz="6" w:space="1" w:color="D4E8DA"/>
        </w:pBdr>
      </w:pPr>
      <w:r>
        <w:rPr>
          <w:b/>
          <w:color w:val="1A4D2E"/>
          <w:sz w:val="32"/>
        </w:rPr>
        <w:t>6.  Business Model &amp; Monetisation</w:t>
      </w:r>
    </w:p>
    <w:p>
      <w:pPr>
        <w:spacing w:before="240" w:after="120"/>
      </w:pPr>
      <w:r>
        <w:rPr>
          <w:b/>
          <w:color w:val="2E7D4F"/>
          <w:sz w:val="26"/>
        </w:rPr>
        <w:t>Revenue streams</w:t>
      </w:r>
    </w:p>
    <w:p>
      <w:pPr>
        <w:spacing w:after="160" w:before="0"/>
      </w:pPr>
      <w:r>
        <w:rPr>
          <w:color w:val="2D2D2D"/>
          <w:sz w:val="22"/>
        </w:rPr>
        <w:t>Revenue comes from five channels. NHS and IAPT SaaS contracts are the primary driver. Private healthcare, corporate wellness, and research licences are secondary channels that leverage the NHS credibility we build through the primary channel.</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68"/>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Stream</w:t>
            </w:r>
          </w:p>
        </w:tc>
        <w:tc>
          <w:tcPr>
            <w:tcW w:type="dxa" w:w="255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Customer</w:t>
            </w:r>
          </w:p>
        </w:tc>
        <w:tc>
          <w:tcPr>
            <w:tcW w:type="dxa" w:w="283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Pricing</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Target ACV</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Trust SaaS</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Mental Health Trusts, ICBs</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£60K (pilot) → £1.5M+ (enterprise)</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£1.5M+</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IAPT / Community SaaS</w:t>
            </w:r>
          </w:p>
        </w:tc>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IAPT services, CMHTs</w:t>
            </w:r>
          </w:p>
        </w:tc>
        <w:tc>
          <w:tcPr>
            <w:tcW w:type="dxa" w:w="28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£60K–£400K per service</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£120K</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Private Healthcare</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Priory, Nuffield, BUPA</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£15–25/patient/month</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£150K–£500K</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Corporate Wellness</w:t>
            </w:r>
          </w:p>
        </w:tc>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FTSE 350 employers</w:t>
            </w:r>
          </w:p>
        </w:tc>
        <w:tc>
          <w:tcPr>
            <w:tcW w:type="dxa" w:w="28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£60–120/employee/year</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£30K–£120K</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Research Licences</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Universities, NHS Research</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£20K–£50K/year</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£30K</w:t>
            </w:r>
          </w:p>
        </w:tc>
      </w:tr>
    </w:tbl>
    <w:p/>
    <w:p>
      <w:pPr>
        <w:spacing w:before="240" w:after="120"/>
      </w:pPr>
      <w:r>
        <w:rPr>
          <w:b/>
          <w:color w:val="2E7D4F"/>
          <w:sz w:val="26"/>
        </w:rPr>
        <w:t>Pricing rationale</w:t>
      </w:r>
    </w:p>
    <w:p>
      <w:pPr>
        <w:spacing w:after="160" w:before="0"/>
      </w:pPr>
      <w:r>
        <w:rPr>
          <w:color w:val="2D2D2D"/>
          <w:sz w:val="22"/>
        </w:rPr>
        <w:t>At £10–15 per patient per month, we are 3–5 times cheaper than US-origin competitors while offering more clinical depth. This is not a low-margin strategy — it is a deliberate decision to be within NHS budget envelopes from the outset. Gross margins in SaaS at this price point remain strong (78%+) because infrastructure and API costs are low relative to contract value. The table below shows where we sit relative to the competitive set.</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5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Platform</w:t>
            </w:r>
          </w:p>
        </w:tc>
        <w:tc>
          <w:tcPr>
            <w:tcW w:type="dxa" w:w="2268"/>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Price/Patient/Month</w:t>
            </w:r>
          </w:p>
        </w:tc>
        <w:tc>
          <w:tcPr>
            <w:tcW w:type="dxa" w:w="198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NHS Suitable?</w:t>
            </w:r>
          </w:p>
        </w:tc>
        <w:tc>
          <w:tcPr>
            <w:tcW w:type="dxa" w:w="255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Clinical Validation</w:t>
            </w:r>
          </w:p>
        </w:tc>
      </w:tr>
      <w:tr>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Healing Space UK</w:t>
            </w:r>
          </w:p>
        </w:tc>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£10–15</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Yes</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Clinical Trial</w:t>
            </w:r>
          </w:p>
        </w:tc>
      </w:tr>
      <w:tr>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SilverCloud (Amwell)</w:t>
            </w:r>
          </w:p>
        </w:tc>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£15–25</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Yes</w:t>
            </w:r>
          </w:p>
        </w:tc>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Strong (RCTs)</w:t>
            </w:r>
          </w:p>
        </w:tc>
      </w:tr>
      <w:tr>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Kooth</w:t>
            </w:r>
          </w:p>
        </w:tc>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£12–20</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Yes (youth only)</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Partial</w:t>
            </w:r>
          </w:p>
        </w:tc>
      </w:tr>
      <w:tr>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Limbic</w:t>
            </w:r>
          </w:p>
        </w:tc>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£25–40</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Limited</w:t>
            </w:r>
          </w:p>
        </w:tc>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Partial</w:t>
            </w:r>
          </w:p>
        </w:tc>
      </w:tr>
      <w:tr>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Wysa</w:t>
            </w:r>
          </w:p>
        </w:tc>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£20–35</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Some</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Partial</w:t>
            </w:r>
          </w:p>
        </w:tc>
      </w:tr>
      <w:tr>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Ginger / Headspace</w:t>
            </w:r>
          </w:p>
        </w:tc>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£40–70</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w:t>
            </w:r>
          </w:p>
        </w:tc>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Limited</w:t>
            </w:r>
          </w:p>
        </w:tc>
      </w:tr>
      <w:tr>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BetterHelp</w:t>
            </w:r>
          </w:p>
        </w:tc>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£55–75</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w:t>
            </w:r>
          </w:p>
        </w:tc>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Limited</w:t>
            </w:r>
          </w:p>
        </w:tc>
      </w:tr>
    </w:tbl>
    <w:p/>
    <w:p>
      <w:pPr>
        <w:spacing w:before="240" w:after="120"/>
      </w:pPr>
      <w:r>
        <w:rPr>
          <w:b/>
          <w:color w:val="2E7D4F"/>
          <w:sz w:val="26"/>
        </w:rPr>
        <w:t>Unit economics</w:t>
      </w:r>
    </w:p>
    <w:tbl>
      <w:tblPr>
        <w:tblStyle w:val="TableGrid"/>
        <w:tblW w:type="auto" w:w="0"/>
        <w:jc w:val="left"/>
        <w:tblLook w:firstColumn="1" w:firstRow="1" w:lastColumn="0" w:lastRow="0" w:noHBand="0" w:noVBand="1" w:val="04A0"/>
      </w:tblPr>
      <w:tblGrid>
        <w:gridCol w:w="4561"/>
        <w:gridCol w:w="4561"/>
      </w:tblGrid>
      <w:tr>
        <w:tc>
          <w:tcPr>
            <w:tcW w:type="dxa" w:w="5669"/>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Metric</w:t>
            </w:r>
          </w:p>
        </w:tc>
        <w:tc>
          <w:tcPr>
            <w:tcW w:type="dxa" w:w="368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Value</w:t>
            </w:r>
          </w:p>
        </w:tc>
      </w:tr>
      <w:tr>
        <w:tc>
          <w:tcPr>
            <w:tcW w:type="dxa" w:w="56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Gross Margin (SaaS)</w:t>
            </w:r>
          </w:p>
        </w:tc>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78%</w:t>
            </w:r>
          </w:p>
        </w:tc>
      </w:tr>
      <w:tr>
        <w:tc>
          <w:tcPr>
            <w:tcW w:type="dxa" w:w="56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Customer Acquisition Cost — NHS Trust (inbound)</w:t>
            </w:r>
          </w:p>
        </w:tc>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£8,000–£15,000</w:t>
            </w:r>
          </w:p>
        </w:tc>
      </w:tr>
      <w:tr>
        <w:tc>
          <w:tcPr>
            <w:tcW w:type="dxa" w:w="56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Customer Acquisition Cost — IAPT (inbound)</w:t>
            </w:r>
          </w:p>
        </w:tc>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£3,000–£6,000</w:t>
            </w:r>
          </w:p>
        </w:tc>
      </w:tr>
      <w:tr>
        <w:tc>
          <w:tcPr>
            <w:tcW w:type="dxa" w:w="56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Payback Period — NHS Trust (annual upfront payment)</w:t>
            </w:r>
          </w:p>
        </w:tc>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Less than 1 month</w:t>
            </w:r>
          </w:p>
        </w:tc>
      </w:tr>
      <w:tr>
        <w:tc>
          <w:tcPr>
            <w:tcW w:type="dxa" w:w="56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Net Revenue Retention target</w:t>
            </w:r>
          </w:p>
        </w:tc>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115%+</w:t>
            </w:r>
          </w:p>
        </w:tc>
      </w:tr>
      <w:tr>
        <w:tc>
          <w:tcPr>
            <w:tcW w:type="dxa" w:w="56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LTV:CAC ratio target (Year 2)</w:t>
            </w:r>
          </w:p>
        </w:tc>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20:1+</w:t>
            </w:r>
          </w:p>
        </w:tc>
      </w:tr>
    </w:tbl>
    <w:p/>
    <w:p>
      <w:pPr>
        <w:spacing w:after="160" w:before="0"/>
      </w:pPr>
      <w:r>
        <w:rPr>
          <w:color w:val="2D2D2D"/>
          <w:sz w:val="22"/>
        </w:rPr>
        <w:t>The LTV:CAC economics of NHS contracts are unusually strong: contracts are typically annual, often paid upfront, and carry very high switching costs once clinicians and patients are embedded in the platform. Expansion ARR — adding services, users, and modules within an existing Trust — drives net revenue retention above 100%.</w:t>
      </w:r>
    </w:p>
    <w:p>
      <w:r>
        <w:br w:type="page"/>
      </w:r>
    </w:p>
    <w:p>
      <w:pPr>
        <w:spacing w:before="360" w:after="120"/>
        <w:pBdr>
          <w:bottom w:val="single" w:sz="6" w:space="1" w:color="D4E8DA"/>
        </w:pBdr>
      </w:pPr>
      <w:r>
        <w:rPr>
          <w:b/>
          <w:color w:val="1A4D2E"/>
          <w:sz w:val="32"/>
        </w:rPr>
        <w:t>7.  Traction &amp; Validation</w:t>
      </w:r>
    </w:p>
    <w:p>
      <w:pPr>
        <w:spacing w:before="160" w:after="160"/>
        <w:ind w:left="283" w:right="283"/>
        <w:shd w:val="clear" w:color="auto" w:fill="E8F5ED"/>
      </w:pPr>
      <w:r>
        <w:rPr>
          <w:i/>
          <w:color w:val="1A4D2E"/>
          <w:sz w:val="22"/>
        </w:rPr>
        <w:t>The single most important fact in this business plan: Healing Space UK is already in active clinical trials with the NHS. This typically takes two years and significant capital for competitors to achieve. We have done it.</w:t>
      </w:r>
    </w:p>
    <w:p>
      <w:pPr>
        <w:spacing w:before="240" w:after="120"/>
      </w:pPr>
      <w:r>
        <w:rPr>
          <w:b/>
          <w:color w:val="2E7D4F"/>
          <w:sz w:val="26"/>
        </w:rPr>
        <w:t>NHS clinical trial</w:t>
      </w:r>
    </w:p>
    <w:p>
      <w:pPr>
        <w:spacing w:after="160" w:before="0"/>
      </w:pPr>
      <w:r>
        <w:rPr>
          <w:color w:val="2D2D2D"/>
          <w:sz w:val="22"/>
        </w:rPr>
        <w:t>The trial has Research Ethics Committee approval, a completed DCB0129-compliant Clinical Safety Case, signed Data Processing Agreements with all NHS trial sites, and real patients and clinicians actively using the platform today. PHQ-9, GAD-7 and CORE-OM outcome scores are being collected. The data generated by this trial will form the evidence base for our first paid NHS contracts and, in time, a NICE technology appraisal submission.</w:t>
      </w:r>
    </w:p>
    <w:p>
      <w:pPr>
        <w:spacing w:before="240" w:after="120"/>
      </w:pPr>
      <w:r>
        <w:rPr>
          <w:b/>
          <w:color w:val="2E7D4F"/>
          <w:sz w:val="26"/>
        </w:rPr>
        <w:t>Development milestones</w:t>
      </w:r>
    </w:p>
    <w:tbl>
      <w:tblPr>
        <w:tblStyle w:val="TableGrid"/>
        <w:tblW w:type="auto" w:w="0"/>
        <w:jc w:val="left"/>
        <w:tblLook w:firstColumn="1" w:firstRow="1" w:lastColumn="0" w:lastRow="0" w:noHBand="0" w:noVBand="1" w:val="04A0"/>
      </w:tblPr>
      <w:tblGrid>
        <w:gridCol w:w="3041"/>
        <w:gridCol w:w="3041"/>
        <w:gridCol w:w="3041"/>
      </w:tblGrid>
      <w:tr>
        <w:tc>
          <w:tcPr>
            <w:tcW w:type="dxa" w:w="4252"/>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Milestone</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Status</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Date</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MVP platform</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Q3 2024</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Security hardening (TIER 0–1)</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Q4 2024</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180+ automated tests (92% pass rate)</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Q4 2024</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C-SSRS clinical assessment integration</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Q1 2025</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REC ethics approval</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Q1 2025</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Active NHS clinical trial commenced</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Q1 2025</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Session notes and treatment plan builder</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February 2026</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CORE-OM, WEMWBS, ORS, SRS outcome measures</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February 2026</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AI crisis detection (SOS system)</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February 2026</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325+ API endpoints, 52 database tables</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Complete</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February 2026</w:t>
            </w:r>
          </w:p>
        </w:tc>
      </w:tr>
    </w:tbl>
    <w:p/>
    <w:p>
      <w:pPr>
        <w:spacing w:before="240" w:after="120"/>
      </w:pPr>
      <w:r>
        <w:rPr>
          <w:b/>
          <w:color w:val="2E7D4F"/>
          <w:sz w:val="26"/>
        </w:rPr>
        <w:t>Platform statistics</w:t>
      </w:r>
    </w:p>
    <w:tbl>
      <w:tblPr>
        <w:tblStyle w:val="TableGrid"/>
        <w:tblW w:type="auto" w:w="0"/>
        <w:jc w:val="left"/>
        <w:tblLook w:firstColumn="1" w:firstRow="1" w:lastColumn="0" w:lastRow="0" w:noHBand="0" w:noVBand="1" w:val="04A0"/>
      </w:tblPr>
      <w:tblGrid>
        <w:gridCol w:w="4561"/>
        <w:gridCol w:w="4561"/>
      </w:tblGrid>
      <w:tr>
        <w:tc>
          <w:tcPr>
            <w:tcW w:type="dxa" w:w="453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Metric</w:t>
            </w:r>
          </w:p>
        </w:tc>
        <w:tc>
          <w:tcPr>
            <w:tcW w:type="dxa" w:w="453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Value</w:t>
            </w:r>
          </w:p>
        </w:tc>
      </w:tr>
      <w:tr>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Lines of code</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33,000+</w:t>
            </w:r>
          </w:p>
        </w:tc>
      </w:tr>
      <w:tr>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Development hours invested</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1,057+</w:t>
            </w:r>
          </w:p>
        </w:tc>
      </w:tr>
      <w:tr>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API endpoints</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325+</w:t>
            </w:r>
          </w:p>
        </w:tc>
      </w:tr>
      <w:tr>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Database tables</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52+</w:t>
            </w:r>
          </w:p>
        </w:tc>
      </w:tr>
      <w:tr>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Automated tests</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180+</w:t>
            </w:r>
          </w:p>
        </w:tc>
      </w:tr>
      <w:tr>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Test pass rate</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92%</w:t>
            </w:r>
          </w:p>
        </w:tc>
      </w:tr>
      <w:tr>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Documentation pages</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150+</w:t>
            </w:r>
          </w:p>
        </w:tc>
      </w:tr>
      <w:tr>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Equivalent commercial build cost</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£125,000–£200,000</w:t>
            </w:r>
          </w:p>
        </w:tc>
      </w:tr>
    </w:tbl>
    <w:p/>
    <w:p>
      <w:pPr>
        <w:spacing w:before="240" w:after="120"/>
      </w:pPr>
      <w:r>
        <w:rPr>
          <w:b/>
          <w:color w:val="2E7D4F"/>
          <w:sz w:val="26"/>
        </w:rPr>
        <w:t>Evidence pathway</w:t>
      </w:r>
    </w:p>
    <w:p>
      <w:pPr>
        <w:spacing w:after="160" w:before="0"/>
      </w:pPr>
      <w:r>
        <w:rPr>
          <w:color w:val="2D2D2D"/>
          <w:sz w:val="22"/>
        </w:rPr>
        <w:t>The three-phase evidence pathway we are following is designed to reach a NICE Technology Appraisal within eighteen months of this funding round. A positive appraisal creates a statutory presumption of adoption across all NHS Trusts in England.</w:t>
      </w:r>
    </w:p>
    <w:p>
      <w:pPr>
        <w:pStyle w:val="ListBullet"/>
        <w:spacing w:after="80" w:before="0"/>
        <w:ind w:left="283"/>
      </w:pPr>
      <w:r>
        <w:rPr>
          <w:b/>
          <w:color w:val="2D2D2D"/>
          <w:sz w:val="22"/>
        </w:rPr>
        <w:t>Phase 1 (current):</w:t>
      </w:r>
      <w:r>
        <w:rPr>
          <w:color w:val="2D2D2D"/>
          <w:sz w:val="22"/>
        </w:rPr>
        <w:t xml:space="preserve"> Feasibility trial — usability, safety, and acceptability.</w:t>
      </w:r>
    </w:p>
    <w:p>
      <w:pPr>
        <w:pStyle w:val="ListBullet"/>
        <w:spacing w:after="80" w:before="0"/>
        <w:ind w:left="283"/>
      </w:pPr>
      <w:r>
        <w:rPr>
          <w:b/>
          <w:color w:val="2D2D2D"/>
          <w:sz w:val="22"/>
        </w:rPr>
        <w:t>Phase 2 (six months):</w:t>
      </w:r>
      <w:r>
        <w:rPr>
          <w:color w:val="2D2D2D"/>
          <w:sz w:val="22"/>
        </w:rPr>
        <w:t xml:space="preserve"> Pilot RCT — preliminary efficacy on PHQ-9 and CORE-OM.</w:t>
      </w:r>
    </w:p>
    <w:p>
      <w:pPr>
        <w:pStyle w:val="ListBullet"/>
        <w:spacing w:after="80" w:before="0"/>
        <w:ind w:left="283"/>
      </w:pPr>
      <w:r>
        <w:rPr>
          <w:b/>
          <w:color w:val="2D2D2D"/>
          <w:sz w:val="22"/>
        </w:rPr>
        <w:t>Phase 3 (twelve to eighteen months):</w:t>
      </w:r>
      <w:r>
        <w:rPr>
          <w:color w:val="2D2D2D"/>
          <w:sz w:val="22"/>
        </w:rPr>
        <w:t xml:space="preserve"> Powered RCT — submission to NICE technology appraisal.</w:t>
      </w:r>
    </w:p>
    <w:p>
      <w:r>
        <w:br w:type="page"/>
      </w:r>
    </w:p>
    <w:p>
      <w:pPr>
        <w:spacing w:before="360" w:after="120"/>
        <w:pBdr>
          <w:bottom w:val="single" w:sz="6" w:space="1" w:color="D4E8DA"/>
        </w:pBdr>
      </w:pPr>
      <w:r>
        <w:rPr>
          <w:b/>
          <w:color w:val="1A4D2E"/>
          <w:sz w:val="32"/>
        </w:rPr>
        <w:t>8.  Competitive Landscape</w:t>
      </w:r>
    </w:p>
    <w:p>
      <w:pPr>
        <w:spacing w:after="160" w:before="0"/>
      </w:pPr>
      <w:r>
        <w:rPr>
          <w:color w:val="2D2D2D"/>
          <w:sz w:val="22"/>
        </w:rPr>
        <w:t>The digital mental health market is large and growing, but fragmented. No single platform has achieved dominant market share within the NHS. The competitive set divides broadly into three groups: US-origin platforms without NHS integration, consumer apps without clinical validation, and narrowly scoped clinical tools that address one part of the patient journey but not the whole.</w:t>
      </w:r>
    </w:p>
    <w:p>
      <w:pPr>
        <w:spacing w:before="240" w:after="120"/>
      </w:pPr>
      <w:r>
        <w:rPr>
          <w:b/>
          <w:color w:val="2E7D4F"/>
          <w:sz w:val="26"/>
        </w:rPr>
        <w:t>Competitive positioning</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215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Competitor</w:t>
            </w:r>
          </w:p>
        </w:tc>
        <w:tc>
          <w:tcPr>
            <w:tcW w:type="dxa" w:w="1417"/>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NHS Focus</w:t>
            </w:r>
          </w:p>
        </w:tc>
        <w:tc>
          <w:tcPr>
            <w:tcW w:type="dxa" w:w="181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Clinical Validation</w:t>
            </w:r>
          </w:p>
        </w:tc>
        <w:tc>
          <w:tcPr>
            <w:tcW w:type="dxa" w:w="1417"/>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AI Therapy</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Crisis Detection</w:t>
            </w:r>
          </w:p>
        </w:tc>
        <w:tc>
          <w:tcPr>
            <w:tcW w:type="dxa" w:w="198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Price/Patient/Mo</w:t>
            </w:r>
          </w:p>
        </w:tc>
      </w:tr>
      <w:tr>
        <w:tc>
          <w:tcPr>
            <w:tcW w:type="dxa" w:w="215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Healing Space UK</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Primary</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Trial</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Advanced</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Real-time (60s)</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£10–15</w:t>
            </w:r>
          </w:p>
        </w:tc>
      </w:tr>
      <w:tr>
        <w:tc>
          <w:tcPr>
            <w:tcW w:type="dxa" w:w="215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Kooth</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Youth only</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Partial</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None</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Basic</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£12–20</w:t>
            </w:r>
          </w:p>
        </w:tc>
      </w:tr>
      <w:tr>
        <w:tc>
          <w:tcPr>
            <w:tcW w:type="dxa" w:w="215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SilverCloud (Amwell)</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Yes</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Strong (RCTs)</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None</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None</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£15–25</w:t>
            </w:r>
          </w:p>
        </w:tc>
      </w:tr>
      <w:tr>
        <w:tc>
          <w:tcPr>
            <w:tcW w:type="dxa" w:w="215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Limbic</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Some</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Partial</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Basic</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None</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£25–40</w:t>
            </w:r>
          </w:p>
        </w:tc>
      </w:tr>
      <w:tr>
        <w:tc>
          <w:tcPr>
            <w:tcW w:type="dxa" w:w="215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Wysa</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Some</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Partial</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Basic</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None</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£20–35</w:t>
            </w:r>
          </w:p>
        </w:tc>
      </w:tr>
      <w:tr>
        <w:tc>
          <w:tcPr>
            <w:tcW w:type="dxa" w:w="215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Ginger / Headspace</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w:t>
            </w:r>
          </w:p>
        </w:tc>
        <w:tc>
          <w:tcPr>
            <w:tcW w:type="dxa" w:w="181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Limited</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Basic</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None</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£40–70</w:t>
            </w:r>
          </w:p>
        </w:tc>
      </w:tr>
      <w:tr>
        <w:tc>
          <w:tcPr>
            <w:tcW w:type="dxa" w:w="215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BetterHelp</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w:t>
            </w:r>
          </w:p>
        </w:tc>
        <w:tc>
          <w:tcPr>
            <w:tcW w:type="dxa" w:w="181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Limited</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None</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None</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£55–75</w:t>
            </w:r>
          </w:p>
        </w:tc>
      </w:tr>
    </w:tbl>
    <w:p/>
    <w:p>
      <w:pPr>
        <w:spacing w:before="240" w:after="120"/>
      </w:pPr>
      <w:r>
        <w:rPr>
          <w:b/>
          <w:color w:val="2E7D4F"/>
          <w:sz w:val="26"/>
        </w:rPr>
        <w:t>Where we win</w:t>
      </w:r>
    </w:p>
    <w:p>
      <w:pPr>
        <w:pStyle w:val="ListBullet"/>
        <w:spacing w:after="80" w:before="0"/>
        <w:ind w:left="283"/>
      </w:pPr>
      <w:r>
        <w:rPr>
          <w:b/>
          <w:color w:val="2D2D2D"/>
          <w:sz w:val="22"/>
        </w:rPr>
        <w:t>NHS-first design:</w:t>
      </w:r>
      <w:r>
        <w:rPr>
          <w:color w:val="2D2D2D"/>
          <w:sz w:val="22"/>
        </w:rPr>
        <w:t xml:space="preserve"> built around NHS workflows, data standards, and procurement processes from day one.</w:t>
      </w:r>
    </w:p>
    <w:p>
      <w:pPr>
        <w:pStyle w:val="ListBullet"/>
        <w:spacing w:after="80" w:before="0"/>
        <w:ind w:left="283"/>
      </w:pPr>
      <w:r>
        <w:rPr>
          <w:b/>
          <w:color w:val="2D2D2D"/>
          <w:sz w:val="22"/>
        </w:rPr>
        <w:t>Full C-SSRS integration and sixty-second crisis escalation:</w:t>
      </w:r>
      <w:r>
        <w:rPr>
          <w:color w:val="2D2D2D"/>
          <w:sz w:val="22"/>
        </w:rPr>
        <w:t xml:space="preserve"> no direct competitor offers this.</w:t>
      </w:r>
    </w:p>
    <w:p>
      <w:pPr>
        <w:pStyle w:val="ListBullet"/>
        <w:spacing w:after="80" w:before="0"/>
        <w:ind w:left="283"/>
      </w:pPr>
      <w:r>
        <w:rPr>
          <w:b/>
          <w:color w:val="2D2D2D"/>
          <w:sz w:val="22"/>
        </w:rPr>
        <w:t>Complete patient journey:</w:t>
      </w:r>
      <w:r>
        <w:rPr>
          <w:color w:val="2D2D2D"/>
          <w:sz w:val="22"/>
        </w:rPr>
        <w:t xml:space="preserve"> we cover GP referral through to discharge in a single platform.</w:t>
      </w:r>
    </w:p>
    <w:p>
      <w:pPr>
        <w:pStyle w:val="ListBullet"/>
        <w:spacing w:after="80" w:before="0"/>
        <w:ind w:left="283"/>
      </w:pPr>
      <w:r>
        <w:rPr>
          <w:b/>
          <w:color w:val="2D2D2D"/>
          <w:sz w:val="22"/>
        </w:rPr>
        <w:t>Price:</w:t>
      </w:r>
      <w:r>
        <w:rPr>
          <w:color w:val="2D2D2D"/>
          <w:sz w:val="22"/>
        </w:rPr>
        <w:t xml:space="preserve"> 3–5x cheaper than US-origin competitors, inside NHS budget envelopes.</w:t>
      </w:r>
    </w:p>
    <w:p>
      <w:pPr>
        <w:pStyle w:val="ListBullet"/>
        <w:spacing w:after="80" w:before="0"/>
        <w:ind w:left="283"/>
      </w:pPr>
      <w:r>
        <w:rPr>
          <w:b/>
          <w:color w:val="2D2D2D"/>
          <w:sz w:val="22"/>
        </w:rPr>
        <w:t>Active NHS trial:</w:t>
      </w:r>
      <w:r>
        <w:rPr>
          <w:color w:val="2D2D2D"/>
          <w:sz w:val="22"/>
        </w:rPr>
        <w:t xml:space="preserve"> the reference relationship competitors will take two-plus years to replicate.</w:t>
      </w:r>
    </w:p>
    <w:p>
      <w:pPr>
        <w:pStyle w:val="ListBullet"/>
        <w:spacing w:after="80" w:before="0"/>
        <w:ind w:left="283"/>
      </w:pPr>
      <w:r>
        <w:rPr>
          <w:b/>
          <w:color w:val="2D2D2D"/>
          <w:sz w:val="22"/>
        </w:rPr>
        <w:t>All NICE-required outcome measures built in:</w:t>
      </w:r>
      <w:r>
        <w:rPr>
          <w:color w:val="2D2D2D"/>
          <w:sz w:val="22"/>
        </w:rPr>
        <w:t xml:space="preserve"> CORE-OM, WEMWBS, ORS, SRS — not add-ons.</w:t>
      </w:r>
    </w:p>
    <w:p>
      <w:pPr>
        <w:spacing w:before="240" w:after="120"/>
      </w:pPr>
      <w:r>
        <w:rPr>
          <w:b/>
          <w:color w:val="2E7D4F"/>
          <w:sz w:val="26"/>
        </w:rPr>
        <w:t>Moat and switching costs</w:t>
      </w:r>
    </w:p>
    <w:p>
      <w:pPr>
        <w:spacing w:after="160" w:before="0"/>
      </w:pPr>
      <w:r>
        <w:rPr>
          <w:color w:val="2D2D2D"/>
          <w:sz w:val="22"/>
        </w:rPr>
        <w:t>Once a Trust deploys Healing Space UK, the switching costs are substantial. Clinicians train on the platform and build workflows around it. Patient histories, risk scores, session notes and treatment plans are stored in the platform. NHS procurement processes strongly favour incumbents. And the clinical outcome data we accumulate becomes a proprietary evidence base that improves our product and our negotiating position over time.</w:t>
      </w:r>
    </w:p>
    <w:p>
      <w:r>
        <w:br w:type="page"/>
      </w:r>
    </w:p>
    <w:p>
      <w:pPr>
        <w:spacing w:before="360" w:after="120"/>
        <w:pBdr>
          <w:bottom w:val="single" w:sz="6" w:space="1" w:color="D4E8DA"/>
        </w:pBdr>
      </w:pPr>
      <w:r>
        <w:rPr>
          <w:b/>
          <w:color w:val="1A4D2E"/>
          <w:sz w:val="32"/>
        </w:rPr>
        <w:t>9.  Go-To-Market Strategy</w:t>
      </w:r>
    </w:p>
    <w:p>
      <w:pPr>
        <w:spacing w:after="160" w:before="0"/>
      </w:pPr>
      <w:r>
        <w:rPr>
          <w:color w:val="2D2D2D"/>
          <w:sz w:val="22"/>
        </w:rPr>
        <w:t>Our go-to-market strategy has four phases, each building on the credibility and infrastructure established by the previous one.</w:t>
      </w:r>
    </w:p>
    <w:p>
      <w:pPr>
        <w:spacing w:before="240" w:after="120"/>
      </w:pPr>
      <w:r>
        <w:rPr>
          <w:b/>
          <w:color w:val="2E7D4F"/>
          <w:sz w:val="26"/>
        </w:rPr>
        <w:t>Phase 1: NHS Trust beachhead  (months 1–12)</w:t>
      </w:r>
    </w:p>
    <w:p>
      <w:pPr>
        <w:spacing w:after="160" w:before="0"/>
      </w:pPr>
      <w:r>
        <w:rPr>
          <w:color w:val="2D2D2D"/>
          <w:sz w:val="22"/>
        </w:rPr>
        <w:t>The NHS clinical trial gives us something money cannot buy: a reference site inside the NHS. The first commercial objective is converting that trial relationship into a paid contract, then using it as a reference for the next two or three Trust conversations. NHS procurement decisions are heavily influenced by peer reference — a clinical lead at one Trust carrying weight with clinical leads at neighbouring Trusts is a more efficient channel than any outbound sales effort.</w:t>
      </w:r>
    </w:p>
    <w:p>
      <w:pPr>
        <w:spacing w:before="240" w:after="120"/>
      </w:pPr>
      <w:r>
        <w:rPr>
          <w:b/>
          <w:color w:val="2E7D4F"/>
          <w:sz w:val="26"/>
        </w:rPr>
        <w:t>Phase 2: IAPT and community services  (months 6–18)</w:t>
      </w:r>
    </w:p>
    <w:p>
      <w:pPr>
        <w:spacing w:after="160" w:before="0"/>
      </w:pPr>
      <w:r>
        <w:rPr>
          <w:color w:val="2D2D2D"/>
          <w:sz w:val="22"/>
        </w:rPr>
        <w:t>IAPT services move through procurement faster than NHS Trusts and represent a large volume of contracts at smaller individual sizes. There are 110+ services nationally. Targeting fifteen by month eighteen is achievable through the clinical professional networks that our NHS trial relationship opens up, combined with a direct sales function.</w:t>
      </w:r>
    </w:p>
    <w:p>
      <w:pPr>
        <w:spacing w:before="240" w:after="120"/>
      </w:pPr>
      <w:r>
        <w:rPr>
          <w:b/>
          <w:color w:val="2E7D4F"/>
          <w:sz w:val="26"/>
        </w:rPr>
        <w:t>Phase 3: Private healthcare and corporate  (months 12–24)</w:t>
      </w:r>
    </w:p>
    <w:p>
      <w:pPr>
        <w:spacing w:after="160" w:before="0"/>
      </w:pPr>
      <w:r>
        <w:rPr>
          <w:color w:val="2D2D2D"/>
          <w:sz w:val="22"/>
        </w:rPr>
        <w:t>NHS credibility converts directly into private healthcare conversations. The Priory Group, Nuffield Health, and BUPA all operate in the adult mental health space and are actively seeking digital tools that carry clinical validation. Corporate wellness is the third channel — FTSE 100 employers have a legal and reputational obligation to support employee mental health, and the right EAP (Employee Assistance Programme) partner relationships can accelerate this substantially.</w:t>
      </w:r>
    </w:p>
    <w:p>
      <w:pPr>
        <w:spacing w:before="240" w:after="120"/>
      </w:pPr>
      <w:r>
        <w:rPr>
          <w:b/>
          <w:color w:val="2E7D4F"/>
          <w:sz w:val="26"/>
        </w:rPr>
        <w:t>Phase 4: International  (months 18–36)</w:t>
      </w:r>
    </w:p>
    <w:p>
      <w:pPr>
        <w:spacing w:after="160" w:before="0"/>
      </w:pPr>
      <w:r>
        <w:rPr>
          <w:color w:val="2D2D2D"/>
          <w:sz w:val="22"/>
        </w:rPr>
        <w:t>UK NHS validation is a meaningful commercial credential in Ireland (HSE), Australia (Medicare/NDIS), and Canada (provincial health authorities) — three markets with comparable regulatory environments and strong government digital health investment. We target a first international contract by month thirty.</w:t>
      </w:r>
    </w:p>
    <w:p>
      <w:pPr>
        <w:spacing w:before="240" w:after="120"/>
      </w:pPr>
      <w:r>
        <w:rPr>
          <w:b/>
          <w:color w:val="2E7D4F"/>
          <w:sz w:val="26"/>
        </w:rPr>
        <w:t>Sales and marketing</w:t>
      </w:r>
    </w:p>
    <w:p>
      <w:pPr>
        <w:pStyle w:val="ListBullet"/>
        <w:spacing w:after="80" w:before="0"/>
        <w:ind w:left="283"/>
      </w:pPr>
      <w:r>
        <w:rPr>
          <w:b/>
          <w:color w:val="2D2D2D"/>
          <w:sz w:val="22"/>
        </w:rPr>
        <w:t>Conference presence:</w:t>
      </w:r>
      <w:r>
        <w:rPr>
          <w:color w:val="2D2D2D"/>
          <w:sz w:val="22"/>
        </w:rPr>
        <w:t xml:space="preserve"> NHS ConfedExpo, King's Fund annual conference, IAPT Network annual event.</w:t>
      </w:r>
    </w:p>
    <w:p>
      <w:pPr>
        <w:pStyle w:val="ListBullet"/>
        <w:spacing w:after="80" w:before="0"/>
        <w:ind w:left="283"/>
      </w:pPr>
      <w:r>
        <w:rPr>
          <w:b/>
          <w:color w:val="2D2D2D"/>
          <w:sz w:val="22"/>
        </w:rPr>
        <w:t>Clinical publications:</w:t>
      </w:r>
      <w:r>
        <w:rPr>
          <w:color w:val="2D2D2D"/>
          <w:sz w:val="22"/>
        </w:rPr>
        <w:t xml:space="preserve"> peer-reviewed outcome data from our trial, submitted to journals within six months.</w:t>
      </w:r>
    </w:p>
    <w:p>
      <w:pPr>
        <w:pStyle w:val="ListBullet"/>
        <w:spacing w:after="80" w:before="0"/>
        <w:ind w:left="283"/>
      </w:pPr>
      <w:r>
        <w:rPr>
          <w:b/>
          <w:color w:val="2D2D2D"/>
          <w:sz w:val="22"/>
        </w:rPr>
        <w:t>NHS Digital Evidence Catalogue:</w:t>
      </w:r>
      <w:r>
        <w:rPr>
          <w:color w:val="2D2D2D"/>
          <w:sz w:val="22"/>
        </w:rPr>
        <w:t xml:space="preserve"> listing to support procurement conversations.</w:t>
      </w:r>
    </w:p>
    <w:p>
      <w:pPr>
        <w:pStyle w:val="ListBullet"/>
        <w:spacing w:after="80" w:before="0"/>
        <w:ind w:left="283"/>
      </w:pPr>
      <w:r>
        <w:rPr>
          <w:b/>
          <w:color w:val="2D2D2D"/>
          <w:sz w:val="22"/>
        </w:rPr>
        <w:t>G-Cloud and NHS Digital Marketplace:</w:t>
      </w:r>
      <w:r>
        <w:rPr>
          <w:color w:val="2D2D2D"/>
          <w:sz w:val="22"/>
        </w:rPr>
        <w:t xml:space="preserve"> framework agreements that reduce procurement friction.</w:t>
      </w:r>
    </w:p>
    <w:p>
      <w:pPr>
        <w:pStyle w:val="ListBullet"/>
        <w:spacing w:after="80" w:before="0"/>
        <w:ind w:left="283"/>
      </w:pPr>
      <w:r>
        <w:rPr>
          <w:b/>
          <w:color w:val="2D2D2D"/>
          <w:sz w:val="22"/>
        </w:rPr>
        <w:t>Referral programme:</w:t>
      </w:r>
      <w:r>
        <w:rPr>
          <w:color w:val="2D2D2D"/>
          <w:sz w:val="22"/>
        </w:rPr>
        <w:t xml:space="preserve"> clinicians who refer receive CPD credit hours.</w:t>
      </w:r>
    </w:p>
    <w:p>
      <w:r>
        <w:br w:type="page"/>
      </w:r>
    </w:p>
    <w:p>
      <w:pPr>
        <w:spacing w:before="360" w:after="120"/>
        <w:pBdr>
          <w:bottom w:val="single" w:sz="6" w:space="1" w:color="D4E8DA"/>
        </w:pBdr>
      </w:pPr>
      <w:r>
        <w:rPr>
          <w:b/>
          <w:color w:val="1A4D2E"/>
          <w:sz w:val="32"/>
        </w:rPr>
        <w:t>10.  Financial Projections</w:t>
      </w:r>
    </w:p>
    <w:p>
      <w:pPr>
        <w:spacing w:before="240" w:after="120"/>
      </w:pPr>
      <w:r>
        <w:rPr>
          <w:b/>
          <w:color w:val="2E7D4F"/>
          <w:sz w:val="26"/>
        </w:rPr>
        <w:t>Key assumptions</w:t>
      </w:r>
    </w:p>
    <w:p>
      <w:pPr>
        <w:pStyle w:val="ListBullet"/>
        <w:spacing w:after="80" w:before="0"/>
        <w:ind w:left="283"/>
      </w:pPr>
      <w:r>
        <w:rPr>
          <w:b/>
          <w:color w:val="2D2D2D"/>
          <w:sz w:val="22"/>
        </w:rPr>
        <w:t>NHS Trust sales cycle:</w:t>
      </w:r>
      <w:r>
        <w:rPr>
          <w:color w:val="2D2D2D"/>
          <w:sz w:val="22"/>
        </w:rPr>
        <w:t xml:space="preserve"> 18 months in Year 1, reducing to 9 months by Year 3 as brand establishes.</w:t>
      </w:r>
    </w:p>
    <w:p>
      <w:pPr>
        <w:pStyle w:val="ListBullet"/>
        <w:spacing w:after="80" w:before="0"/>
        <w:ind w:left="283"/>
      </w:pPr>
      <w:r>
        <w:rPr>
          <w:b/>
          <w:color w:val="2D2D2D"/>
          <w:sz w:val="22"/>
        </w:rPr>
        <w:t>IAPT sales cycle:</w:t>
      </w:r>
      <w:r>
        <w:rPr>
          <w:color w:val="2D2D2D"/>
          <w:sz w:val="22"/>
        </w:rPr>
        <w:t xml:space="preserve"> 6–9 months.</w:t>
      </w:r>
    </w:p>
    <w:p>
      <w:pPr>
        <w:pStyle w:val="ListBullet"/>
        <w:spacing w:after="80" w:before="0"/>
        <w:ind w:left="283"/>
      </w:pPr>
      <w:r>
        <w:rPr>
          <w:b/>
          <w:color w:val="2D2D2D"/>
          <w:sz w:val="22"/>
        </w:rPr>
        <w:t>Annual contract renewal rate:</w:t>
      </w:r>
      <w:r>
        <w:rPr>
          <w:color w:val="2D2D2D"/>
          <w:sz w:val="22"/>
        </w:rPr>
        <w:t xml:space="preserve"> 90% (high due to switching costs and embedded workflows).</w:t>
      </w:r>
    </w:p>
    <w:p>
      <w:pPr>
        <w:pStyle w:val="ListBullet"/>
        <w:spacing w:after="80" w:before="0"/>
        <w:ind w:left="283"/>
      </w:pPr>
      <w:r>
        <w:rPr>
          <w:color w:val="2D2D2D"/>
          <w:sz w:val="22"/>
        </w:rPr>
        <w:t>Year 1 NHS Trust contracts are pilot-tier deployments at £60K each, converting to growth-tier in Year 2.</w:t>
      </w:r>
    </w:p>
    <w:p>
      <w:pPr>
        <w:pStyle w:val="ListBullet"/>
        <w:spacing w:after="80" w:before="0"/>
        <w:ind w:left="283"/>
      </w:pPr>
      <w:r>
        <w:rPr>
          <w:color w:val="2D2D2D"/>
          <w:sz w:val="22"/>
        </w:rPr>
        <w:t>Full enterprise NHS Trust contracts (£1.5M+) begin from Year 3 as outcome data matures.</w:t>
      </w:r>
    </w:p>
    <w:p>
      <w:pPr>
        <w:pStyle w:val="ListBullet"/>
        <w:spacing w:after="80" w:before="0"/>
        <w:ind w:left="283"/>
      </w:pPr>
      <w:r>
        <w:rPr>
          <w:color w:val="2D2D2D"/>
          <w:sz w:val="22"/>
        </w:rPr>
        <w:t>Series A of £2.5M assumed to close at Month 15 (Q2 Year 2) upon reaching £600K ARR.</w:t>
      </w:r>
    </w:p>
    <w:p>
      <w:pPr>
        <w:spacing w:before="240" w:after="120"/>
      </w:pPr>
      <w:r>
        <w:rPr>
          <w:b/>
          <w:color w:val="2E7D4F"/>
          <w:sz w:val="26"/>
        </w:rPr>
        <w:t>Revenue projections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969"/>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Revenue stream</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 1</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 2</w:t>
            </w:r>
          </w:p>
        </w:tc>
        <w:tc>
          <w:tcPr>
            <w:tcW w:type="dxa" w:w="198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 3</w:t>
            </w:r>
          </w:p>
        </w:tc>
      </w:tr>
      <w:tr>
        <w:tc>
          <w:tcPr>
            <w:tcW w:type="dxa" w:w="39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Trust ARR (2 / 8 / 25 contracts)</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£120,000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£960,000</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£3,750,000</w:t>
            </w:r>
          </w:p>
        </w:tc>
      </w:tr>
      <w:tr>
        <w:tc>
          <w:tcPr>
            <w:tcW w:type="dxa" w:w="39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IAPT / CMHT ARR (3 / 12 / 30 contracts)</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£36,000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£144,000</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£360,000</w:t>
            </w:r>
          </w:p>
        </w:tc>
      </w:tr>
      <w:tr>
        <w:tc>
          <w:tcPr>
            <w:tcW w:type="dxa" w:w="39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Private Healthcare ARR</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£120,000</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£600,000</w:t>
            </w:r>
          </w:p>
        </w:tc>
      </w:tr>
      <w:tr>
        <w:tc>
          <w:tcPr>
            <w:tcW w:type="dxa" w:w="39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Corporate / Enterprise ARR</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£156,000</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£750,000</w:t>
            </w:r>
          </w:p>
        </w:tc>
      </w:tr>
      <w:tr>
        <w:tc>
          <w:tcPr>
            <w:tcW w:type="dxa" w:w="39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Research Licences ARR</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£50,000</w:t>
            </w:r>
          </w:p>
        </w:tc>
      </w:tr>
      <w:tr>
        <w:tc>
          <w:tcPr>
            <w:tcW w:type="dxa" w:w="396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Total ARR (end of year run rate)</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£180,000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£1,380,000</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£5,510,000</w:t>
            </w:r>
          </w:p>
        </w:tc>
      </w:tr>
      <w:tr>
        <w:tc>
          <w:tcPr>
            <w:tcW w:type="dxa" w:w="396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Total Revenue (recognised)</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£135,000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£1,035,000</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£4,408,000</w:t>
            </w:r>
          </w:p>
        </w:tc>
      </w:tr>
    </w:tbl>
    <w:p/>
    <w:p>
      <w:pPr>
        <w:spacing w:after="160" w:before="0"/>
      </w:pPr>
      <w:r>
        <w:rPr>
          <w:color w:val="2D2D2D"/>
          <w:sz w:val="22"/>
        </w:rPr>
        <w:t>Year 1 recognised revenue is approximately 75% of ARR due to mid-year contract signings. The NHS Trust contract tier ramp: pilot (£60K, up to 500 licences), growth (£120K–£180K, up to 2,000 licences), enterprise (£300K–£1.5M+). Enterprise-tier contracts are the Year 3+ target as our outcome evidence base matures.</w:t>
      </w:r>
    </w:p>
    <w:p>
      <w:pPr>
        <w:spacing w:before="240" w:after="120"/>
      </w:pPr>
      <w:r>
        <w:rPr>
          <w:b/>
          <w:color w:val="2E7D4F"/>
          <w:sz w:val="26"/>
        </w:rPr>
        <w:t>Cost structure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252"/>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Cost line</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 1</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 2</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Year 3</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Personnel — Engineering</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£140,000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£200,000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£320,000</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Personnel — Clinical Lead</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£75,000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£85,000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£95,000</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Personnel — Sales</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£120,000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£240,000</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Personnel — G&amp;A / CEO</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£120,000</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Personnel — Future hires</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£155,000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£425,000</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Infrastructure (cloud, APIs)</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£45,000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£120,000</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Sales &amp; Marketing</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£35,000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£90,000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£200,000</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Clinical / Legal / Compliance</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£40,000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£80,000</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G&amp;A (office, software, misc)</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£30,000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£60,000</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Total Operating Costs</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£403,000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£845,000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£1,660,000</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COGS (hosting, API, support ~22%)</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£29,700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£227,700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£969,800</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Gross Profit</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£105,300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£807,300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£3,438,200</w:t>
            </w:r>
          </w:p>
        </w:tc>
      </w:tr>
      <w:tr>
        <w:tc>
          <w:tcPr>
            <w:tcW w:type="dxa" w:w="42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Gross Margin</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78%</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78%</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78%</w:t>
            </w:r>
          </w:p>
        </w:tc>
      </w:tr>
      <w:tr>
        <w:tc>
          <w:tcPr>
            <w:tcW w:type="dxa" w:w="425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EBITDA</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(£268,000)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£55,000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£2,740,000</w:t>
            </w:r>
          </w:p>
        </w:tc>
      </w:tr>
    </w:tbl>
    <w:p/>
    <w:p>
      <w:pPr>
        <w:spacing w:before="240" w:after="120"/>
      </w:pPr>
      <w:r>
        <w:rPr>
          <w:b/>
          <w:color w:val="2E7D4F"/>
          <w:sz w:val="26"/>
        </w:rPr>
        <w:t>Cash flow and runway</w:t>
      </w:r>
    </w:p>
    <w:p>
      <w:pPr>
        <w:spacing w:after="160" w:before="0"/>
      </w:pPr>
      <w:r>
        <w:rPr>
          <w:color w:val="2D2D2D"/>
          <w:sz w:val="22"/>
        </w:rPr>
        <w:t>The seed funding of £350,000 provides approximately fourteen to sixteen months of runway before reaching the Series A trigger: ≥£600K ARR and ≥10 signed contracts. An indicative Series A of £2.5M is assumed to close in Q2 Year 2.</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3118"/>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Period</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Opening Cash</w:t>
            </w:r>
          </w:p>
        </w:tc>
        <w:tc>
          <w:tcPr>
            <w:tcW w:type="dxa" w:w="1417"/>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Revenue</w:t>
            </w:r>
          </w:p>
        </w:tc>
        <w:tc>
          <w:tcPr>
            <w:tcW w:type="dxa" w:w="1417"/>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Costs</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Closing Cash</w:t>
            </w:r>
          </w:p>
        </w:tc>
      </w:tr>
      <w:tr>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Q1 Year 1</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£350K</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£15K</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(£110K)</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£255K</w:t>
            </w:r>
          </w:p>
        </w:tc>
      </w:tr>
      <w:tr>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Q2 Year 1</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£255K</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£30K</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(£127K)</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£158K</w:t>
            </w:r>
          </w:p>
        </w:tc>
      </w:tr>
      <w:tr>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Q3 Year 1</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£158K</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£45K</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(£107K)</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£96K</w:t>
            </w:r>
          </w:p>
        </w:tc>
      </w:tr>
      <w:tr>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Q4 Year 1</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£96K</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£45K</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(£66K)</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£75K</w:t>
            </w:r>
          </w:p>
        </w:tc>
      </w:tr>
      <w:tr>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Q1 Year 2</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£75K</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£90K</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(£135K)</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£30K</w:t>
            </w:r>
          </w:p>
        </w:tc>
      </w:tr>
      <w:tr>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Q2 Year 2 (+ Series A £2.43M net)</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£30K</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£150K</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(£175K)</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£2,405K</w:t>
            </w:r>
          </w:p>
        </w:tc>
      </w:tr>
      <w:tr>
        <w:tc>
          <w:tcPr>
            <w:tcW w:type="dxa" w:w="311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Q3 Year 2</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£2,405K</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£225K</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(£525K)</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£2,105K</w:t>
            </w:r>
          </w:p>
        </w:tc>
      </w:tr>
      <w:tr>
        <w:tc>
          <w:tcPr>
            <w:tcW w:type="dxa" w:w="311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Q4 Year 2</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£2,105K</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£435K</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(£525K)</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£2,015K</w:t>
            </w:r>
          </w:p>
        </w:tc>
      </w:tr>
    </w:tbl>
    <w:p/>
    <w:p>
      <w:pPr>
        <w:spacing w:before="240" w:after="120"/>
      </w:pPr>
      <w:r>
        <w:rPr>
          <w:b/>
          <w:color w:val="2E7D4F"/>
          <w:sz w:val="26"/>
        </w:rPr>
        <w:t>Series A positioning</w:t>
      </w:r>
    </w:p>
    <w:p>
      <w:pPr>
        <w:spacing w:after="160" w:before="0"/>
      </w:pPr>
      <w:r>
        <w:rPr>
          <w:color w:val="2D2D2D"/>
          <w:sz w:val="22"/>
        </w:rPr>
        <w:t>With ≥£600K ARR and ≥10 signed NHS contracts, and published clinical trial results, we expect to raise a Series A of £2–4 million at a valuation of £12–18 million. Comparable transactions: Limbic Series A at £12M, Ieso Digital Health Series B at £30M (£100M valuation), SilverCloud acquired by Amwell at ~$200M. Our pre-money seed valuation of £1.5M is deliberately conservative relative to these benchmarks.</w:t>
      </w:r>
    </w:p>
    <w:p>
      <w:r>
        <w:br w:type="page"/>
      </w:r>
    </w:p>
    <w:p>
      <w:pPr>
        <w:spacing w:before="360" w:after="120"/>
        <w:pBdr>
          <w:bottom w:val="single" w:sz="6" w:space="1" w:color="D4E8DA"/>
        </w:pBdr>
      </w:pPr>
      <w:r>
        <w:rPr>
          <w:b/>
          <w:color w:val="1A4D2E"/>
          <w:sz w:val="32"/>
        </w:rPr>
        <w:t>11.  Team</w:t>
      </w:r>
    </w:p>
    <w:p>
      <w:pPr>
        <w:spacing w:before="240" w:after="120"/>
      </w:pPr>
      <w:r>
        <w:rPr>
          <w:b/>
          <w:color w:val="2E7D4F"/>
          <w:sz w:val="26"/>
        </w:rPr>
        <w:t>Founding team</w:t>
      </w:r>
    </w:p>
    <w:p>
      <w:pPr>
        <w:spacing w:after="160" w:before="0"/>
      </w:pPr>
      <w:r>
        <w:rPr>
          <w:color w:val="2D2D2D"/>
          <w:sz w:val="22"/>
        </w:rPr>
        <w:t>The founding team brings a combination of assets that is genuinely difficult to replicate. The Founder and CEO has hands-on technical depth — having personally built over 1,057 hours of the platform code — alongside deep knowledge of NHS mental health clinical pathways and the institutional relationships that produced the active NHS trial. An active NHS clinical trial cannot be purchased; it has to be earned through clinical credibility and relationship capital. The founding team has both.</w:t>
      </w:r>
    </w:p>
    <w:p>
      <w:pPr>
        <w:spacing w:after="200" w:before="0"/>
      </w:pPr>
      <w:r>
        <w:rPr>
          <w:color w:val="2D2D2D"/>
          <w:sz w:val="22"/>
        </w:rPr>
        <w:t>Full team bios and LinkedIn profiles are available on request under NDA.</w:t>
      </w:r>
    </w:p>
    <w:p>
      <w:pPr>
        <w:spacing w:before="240" w:after="120"/>
      </w:pPr>
      <w:r>
        <w:rPr>
          <w:b/>
          <w:color w:val="2E7D4F"/>
          <w:sz w:val="26"/>
        </w:rPr>
        <w:t>Planned hires (seed funded)</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Role</w:t>
            </w:r>
          </w:p>
        </w:tc>
        <w:tc>
          <w:tcPr>
            <w:tcW w:type="dxa" w:w="3402"/>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Profile</w:t>
            </w:r>
          </w:p>
        </w:tc>
        <w:tc>
          <w:tcPr>
            <w:tcW w:type="dxa" w:w="368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Responsibility</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Chief Technology Officer</w:t>
            </w:r>
          </w:p>
        </w:tc>
        <w:tc>
          <w:tcPr>
            <w:tcW w:type="dxa" w:w="340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 years healthcare technology / SaaS engineering; NHS digital health experience preferred</w:t>
            </w:r>
          </w:p>
        </w:tc>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Architecture scalability, NHS integrations (EMIS/SystmOne/FHIR), engineering team build-out</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Head of Clinical Services</w:t>
            </w:r>
          </w:p>
        </w:tc>
        <w:tc>
          <w:tcPr>
            <w:tcW w:type="dxa" w:w="3402"/>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Qualified clinical psychologist or senior IAPT practitioner; NHS leadership background</w:t>
            </w:r>
          </w:p>
        </w:tc>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Clinical governance, NICE evidence submission, NHS clinical champion network</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Sales Director (NHS)</w:t>
            </w:r>
          </w:p>
        </w:tc>
        <w:tc>
          <w:tcPr>
            <w:tcW w:type="dxa" w:w="340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 years selling SaaS into NHS or complex B2B healthcare; existing NHS procurement relationships</w:t>
            </w:r>
          </w:p>
        </w:tc>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£900K ARR target by Month 18; sales playbook; partnership development</w:t>
            </w:r>
          </w:p>
        </w:tc>
      </w:tr>
    </w:tbl>
    <w:p/>
    <w:p>
      <w:pPr>
        <w:spacing w:before="240" w:after="120"/>
      </w:pPr>
      <w:r>
        <w:rPr>
          <w:b/>
          <w:color w:val="2E7D4F"/>
          <w:sz w:val="26"/>
        </w:rPr>
        <w:t>Clinical Advisory Board (in formation)</w:t>
      </w:r>
    </w:p>
    <w:p>
      <w:pPr>
        <w:pStyle w:val="ListBullet"/>
        <w:spacing w:after="80" w:before="0"/>
        <w:ind w:left="283"/>
      </w:pPr>
      <w:r>
        <w:rPr>
          <w:color w:val="2D2D2D"/>
          <w:sz w:val="22"/>
        </w:rPr>
        <w:t>Lead Clinical Psychologist, NHS Mental Health Trust (existing trial relationship)</w:t>
      </w:r>
    </w:p>
    <w:p>
      <w:pPr>
        <w:pStyle w:val="ListBullet"/>
        <w:spacing w:after="80" w:before="0"/>
        <w:ind w:left="283"/>
      </w:pPr>
      <w:r>
        <w:rPr>
          <w:color w:val="2D2D2D"/>
          <w:sz w:val="22"/>
        </w:rPr>
        <w:t>University Professor — Digital Mental Health (research partnership in discussion)</w:t>
      </w:r>
    </w:p>
    <w:p>
      <w:pPr>
        <w:pStyle w:val="ListBullet"/>
        <w:spacing w:after="80" w:before="0"/>
        <w:ind w:left="283"/>
      </w:pPr>
      <w:r>
        <w:rPr>
          <w:color w:val="2D2D2D"/>
          <w:sz w:val="22"/>
        </w:rPr>
        <w:t>NHS Commissioner, Mental Health — ICB level</w:t>
      </w:r>
    </w:p>
    <w:p>
      <w:pPr>
        <w:pStyle w:val="ListBullet"/>
        <w:spacing w:after="80" w:before="0"/>
        <w:ind w:left="283"/>
      </w:pPr>
      <w:r>
        <w:rPr>
          <w:color w:val="2D2D2D"/>
          <w:sz w:val="22"/>
        </w:rPr>
        <w:t>Patient Lived Experience Representative</w:t>
      </w:r>
    </w:p>
    <w:p>
      <w:r>
        <w:br w:type="page"/>
      </w:r>
    </w:p>
    <w:p>
      <w:pPr>
        <w:spacing w:before="360" w:after="120"/>
        <w:pBdr>
          <w:bottom w:val="single" w:sz="6" w:space="1" w:color="D4E8DA"/>
        </w:pBdr>
      </w:pPr>
      <w:r>
        <w:rPr>
          <w:b/>
          <w:color w:val="1A4D2E"/>
          <w:sz w:val="32"/>
        </w:rPr>
        <w:t>12.  Investment Ask &amp; Use of Funds</w:t>
      </w:r>
    </w:p>
    <w:p>
      <w:pPr>
        <w:spacing w:before="240" w:after="120"/>
      </w:pPr>
      <w:r>
        <w:rPr>
          <w:b/>
          <w:color w:val="2E7D4F"/>
          <w:sz w:val="26"/>
        </w:rPr>
        <w:t>The raise</w:t>
      </w:r>
    </w:p>
    <w:p>
      <w:pPr>
        <w:spacing w:after="160" w:before="0"/>
      </w:pPr>
      <w:r>
        <w:rPr>
          <w:color w:val="2D2D2D"/>
          <w:sz w:val="22"/>
        </w:rPr>
        <w:t>We are raising £350,000 in a Seed round, structured as SEIS/EIS-qualifying equity at a pre-money valuation of £1.5 million, or as a convertible note with a £3 million valuation cap and a 20% conversion discount.</w:t>
      </w:r>
    </w:p>
    <w:p>
      <w:pPr>
        <w:spacing w:after="160" w:before="0"/>
      </w:pPr>
      <w:r>
        <w:rPr>
          <w:color w:val="2D2D2D"/>
          <w:sz w:val="22"/>
        </w:rPr>
        <w:t>We intend to seek SEIS Advance Assurance from HMRC. Under SEIS, investors receive up to 50% income tax relief on investments up to £100,000 per year, capital gains tax relief on exit, and loss relief if the company fails. EIS extends the same benefits to larger investments. In practical terms, the effective downside risk for investors in this round is materially reduced by these reliefs.</w:t>
      </w:r>
    </w:p>
    <w:p>
      <w:pPr>
        <w:spacing w:before="240" w:after="120"/>
      </w:pPr>
      <w:r>
        <w:rPr>
          <w:b/>
          <w:color w:val="2E7D4F"/>
          <w:sz w:val="26"/>
        </w:rPr>
        <w:t>Use of funds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5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Category</w:t>
            </w:r>
          </w:p>
        </w:tc>
        <w:tc>
          <w:tcPr>
            <w:tcW w:type="dxa" w:w="1417"/>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Amount</w:t>
            </w:r>
          </w:p>
        </w:tc>
        <w:tc>
          <w:tcPr>
            <w:tcW w:type="dxa" w:w="850"/>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w:t>
            </w:r>
          </w:p>
        </w:tc>
        <w:tc>
          <w:tcPr>
            <w:tcW w:type="dxa" w:w="453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What it pays for</w:t>
            </w:r>
          </w:p>
        </w:tc>
      </w:tr>
      <w:tr>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People</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£200,000</w:t>
            </w:r>
          </w:p>
        </w:tc>
        <w:tc>
          <w:tcPr>
            <w:tcW w:type="dxa" w:w="85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57%</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CTO (Year 1), Clinical Lead (6 months), Sales Director (6 months)</w:t>
            </w:r>
          </w:p>
        </w:tc>
      </w:tr>
      <w:tr>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Clinical &amp; Compliance</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£60,000</w:t>
            </w:r>
          </w:p>
        </w:tc>
        <w:tc>
          <w:tcPr>
            <w:tcW w:type="dxa" w:w="850"/>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17%</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IG44 certification, DCB0129, GDPR DPA updates, ISO 27001 readiness</w:t>
            </w:r>
          </w:p>
        </w:tc>
      </w:tr>
      <w:tr>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Sales &amp; Marketing</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£45,000</w:t>
            </w:r>
          </w:p>
        </w:tc>
        <w:tc>
          <w:tcPr>
            <w:tcW w:type="dxa" w:w="85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13%</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conferences, clinical publications, direct sales collateral</w:t>
            </w:r>
          </w:p>
        </w:tc>
      </w:tr>
      <w:tr>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Infrastructure &amp; Technology</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£25,000</w:t>
            </w:r>
          </w:p>
        </w:tc>
        <w:tc>
          <w:tcPr>
            <w:tcW w:type="dxa" w:w="850"/>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Cloud scaling, EMIS/SystmOne NHS integration development</w:t>
            </w:r>
          </w:p>
        </w:tc>
      </w:tr>
      <w:tr>
        <w:tc>
          <w:tcPr>
            <w:tcW w:type="dxa" w:w="255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Legal &amp; Admin</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£20,000</w:t>
            </w:r>
          </w:p>
        </w:tc>
        <w:tc>
          <w:tcPr>
            <w:tcW w:type="dxa" w:w="85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IP protection, contract templates, investor relations</w:t>
            </w:r>
          </w:p>
        </w:tc>
      </w:tr>
      <w:tr>
        <w:tc>
          <w:tcPr>
            <w:tcW w:type="dxa" w:w="255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Total</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£350,000</w:t>
            </w:r>
          </w:p>
        </w:tc>
        <w:tc>
          <w:tcPr>
            <w:tcW w:type="dxa" w:w="850"/>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100%</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r>
          </w:p>
        </w:tc>
      </w:tr>
    </w:tbl>
    <w:p/>
    <w:p>
      <w:pPr>
        <w:spacing w:before="240" w:after="120"/>
      </w:pPr>
      <w:r>
        <w:rPr>
          <w:b/>
          <w:color w:val="2E7D4F"/>
          <w:sz w:val="26"/>
        </w:rPr>
        <w:t>Milestones this funding unlocks</w:t>
      </w:r>
    </w:p>
    <w:tbl>
      <w:tblPr>
        <w:tblStyle w:val="TableGrid"/>
        <w:tblW w:type="auto" w:w="0"/>
        <w:jc w:val="left"/>
        <w:tblLook w:firstColumn="1" w:firstRow="1" w:lastColumn="0" w:lastRow="0" w:noHBand="0" w:noVBand="1" w:val="04A0"/>
      </w:tblPr>
      <w:tblGrid>
        <w:gridCol w:w="3041"/>
        <w:gridCol w:w="3041"/>
        <w:gridCol w:w="3041"/>
      </w:tblGrid>
      <w:tr>
        <w:tc>
          <w:tcPr>
            <w:tcW w:type="dxa" w:w="368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Milestone</w:t>
            </w:r>
          </w:p>
        </w:tc>
        <w:tc>
          <w:tcPr>
            <w:tcW w:type="dxa" w:w="113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Month</w:t>
            </w:r>
          </w:p>
        </w:tc>
        <w:tc>
          <w:tcPr>
            <w:tcW w:type="dxa" w:w="453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Why It Matters</w:t>
            </w:r>
          </w:p>
        </w:tc>
      </w:tr>
      <w:tr>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IG44 + Clinical Safety Case complete</w:t>
            </w:r>
          </w:p>
        </w:tc>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Removes the primary procurement blocker for all NHS Trusts</w:t>
            </w:r>
          </w:p>
        </w:tc>
      </w:tr>
      <w:tr>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First paid NHS contract signed</w:t>
            </w:r>
          </w:p>
        </w:tc>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Validates the commercial model; provides a reference site</w:t>
            </w:r>
          </w:p>
        </w:tc>
      </w:tr>
      <w:tr>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Clinical trial results published</w:t>
            </w:r>
          </w:p>
        </w:tc>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6</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Evidence base for NICE and NHS procurement decisions</w:t>
            </w:r>
          </w:p>
        </w:tc>
      </w:tr>
      <w:tr>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 NHS / IAPT contracts active</w:t>
            </w:r>
          </w:p>
        </w:tc>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£300K+ ARR; Series A pipeline established</w:t>
            </w:r>
          </w:p>
        </w:tc>
      </w:tr>
      <w:tr>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Series A raise initiated</w:t>
            </w:r>
          </w:p>
        </w:tc>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£2–4M to accelerate UK growth and international entry</w:t>
            </w:r>
          </w:p>
        </w:tc>
      </w:tr>
      <w:tr>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 contracts, £600K ARR</w:t>
            </w:r>
          </w:p>
        </w:tc>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Series A close</w:t>
            </w:r>
          </w:p>
        </w:tc>
      </w:tr>
    </w:tbl>
    <w:p/>
    <w:p>
      <w:pPr>
        <w:spacing w:before="240" w:after="120"/>
      </w:pPr>
      <w:r>
        <w:rPr>
          <w:b/>
          <w:color w:val="2E7D4F"/>
          <w:sz w:val="26"/>
        </w:rPr>
        <w:t>Return scenario analysis</w:t>
      </w:r>
    </w:p>
    <w:p>
      <w:pPr>
        <w:spacing w:after="160" w:before="0"/>
      </w:pPr>
      <w:r>
        <w:rPr>
          <w:color w:val="2D2D2D"/>
          <w:sz w:val="22"/>
        </w:rPr>
        <w:t>The table below shows illustrative investor return scenarios based on an initial 18.9% ownership (£350K into £1.85M post-money), with assumed 50% dilution through Series A/B to approximately 9.5% ownership at exit. Actual returns will depend on round structure, dilution, and exit terms.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368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Scenario</w:t>
            </w:r>
          </w:p>
        </w:tc>
        <w:tc>
          <w:tcPr>
            <w:tcW w:type="dxa" w:w="1417"/>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Probability</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Exit Valuation</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Estimated Return</w:t>
            </w:r>
          </w:p>
        </w:tc>
        <w:tc>
          <w:tcPr>
            <w:tcW w:type="dxa" w:w="113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Multiple</w:t>
            </w:r>
          </w:p>
        </w:tc>
      </w:tr>
      <w:tr>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Conservative: regional NHS rollout; trade sale to NHS tech incumbent</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£8M</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~£760K</w:t>
            </w:r>
          </w:p>
        </w:tc>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~2x</w:t>
            </w:r>
          </w:p>
        </w:tc>
      </w:tr>
      <w:tr>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Base: 25 NHS Trusts, UK market leader; trade sale to US strategic acquirer</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50%</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£30M</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~£2.85M</w:t>
            </w:r>
          </w:p>
        </w:tc>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~8x</w:t>
            </w:r>
          </w:p>
        </w:tc>
      </w:tr>
      <w:tr>
        <w:tc>
          <w:tcPr>
            <w:tcW w:type="dxa" w:w="368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Optimistic: NICE appraisal, 50+ Trusts, international; AIM IPO or PE buyout</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25%</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£100M</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~£9.5M</w:t>
            </w:r>
          </w:p>
        </w:tc>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~27x</w:t>
            </w:r>
          </w:p>
        </w:tc>
      </w:tr>
      <w:tr>
        <w:tc>
          <w:tcPr>
            <w:tcW w:type="dxa" w:w="368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Failure (SEIS loss relief applies)</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£0</w:t>
            </w:r>
          </w:p>
        </w:tc>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0x</w:t>
            </w:r>
          </w:p>
        </w:tc>
      </w:tr>
    </w:tbl>
    <w:p/>
    <w:p>
      <w:pPr>
        <w:spacing w:after="160" w:before="0"/>
      </w:pPr>
      <w:r>
        <w:rPr>
          <w:color w:val="2D2D2D"/>
          <w:sz w:val="22"/>
        </w:rPr>
        <w:t>Probability-weighted expected return: approximately £3.2M on a £350K investment (~9x), before SEIS tax reliefs. With SEIS applied to the first £100K, income tax relief reduces the effective investment cost by up to 50%, further improving the risk/return profile.</w:t>
      </w:r>
    </w:p>
    <w:p>
      <w:r>
        <w:br w:type="page"/>
      </w:r>
    </w:p>
    <w:p>
      <w:pPr>
        <w:spacing w:before="360" w:after="120"/>
        <w:pBdr>
          <w:bottom w:val="single" w:sz="6" w:space="1" w:color="D4E8DA"/>
        </w:pBdr>
      </w:pPr>
      <w:r>
        <w:rPr>
          <w:b/>
          <w:color w:val="1A4D2E"/>
          <w:sz w:val="32"/>
        </w:rPr>
        <w:t>13.  Risk Analysis &amp; Mitigation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68"/>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Risk</w:t>
            </w:r>
          </w:p>
        </w:tc>
        <w:tc>
          <w:tcPr>
            <w:tcW w:type="dxa" w:w="1417"/>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Likelihood</w:t>
            </w:r>
          </w:p>
        </w:tc>
        <w:tc>
          <w:tcPr>
            <w:tcW w:type="dxa" w:w="113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Impact</w:t>
            </w:r>
          </w:p>
        </w:tc>
        <w:tc>
          <w:tcPr>
            <w:tcW w:type="dxa" w:w="453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Mitigation</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procurement delay</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Medium</w:t>
            </w:r>
          </w:p>
        </w:tc>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High</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IAPT secondary channel moves faster; G-Cloud framework listing reduces procurement friction</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Clinical trial results underwhelming</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Low</w:t>
            </w:r>
          </w:p>
        </w:tc>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High</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Multiple outcome measures reduce single-point dependency; iterative design between phases</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AI regulatory tightening (EU AI Act / MHRA)</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Medium</w:t>
            </w:r>
          </w:p>
        </w:tc>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Medium</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Platform is assistive, not diagnostic; all clinical decisions remain with qualified clinicians</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Competitor replication</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Medium</w:t>
            </w:r>
          </w:p>
        </w:tc>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Medium</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trial relationship and outcome data are non-purchasable; switching costs entrench incumbency</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Founder dependency</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Medium</w:t>
            </w:r>
          </w:p>
        </w:tc>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High</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CTO hire is the first priority; comprehensive documentation already in place</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Data breach or security incident</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Low</w:t>
            </w:r>
          </w:p>
        </w:tc>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Very High</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TIER 0–1 security hardening complete; NHS IG44 certification in progress</w:t>
            </w:r>
          </w:p>
        </w:tc>
      </w:tr>
      <w:tr>
        <w:tc>
          <w:tcPr>
            <w:tcW w:type="dxa" w:w="226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NICE appraisal not positive</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Low</w:t>
            </w:r>
          </w:p>
        </w:tc>
        <w:tc>
          <w:tcPr>
            <w:tcW w:type="dxa" w:w="113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Medium</w:t>
            </w:r>
          </w:p>
        </w:tc>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NHS contract sales unaffected; evidence refined and resubmitted</w:t>
            </w:r>
          </w:p>
        </w:tc>
      </w:tr>
      <w:tr>
        <w:tc>
          <w:tcPr>
            <w:tcW w:type="dxa" w:w="2268"/>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Team scaling challenges</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Medium</w:t>
            </w:r>
          </w:p>
        </w:tc>
        <w:tc>
          <w:tcPr>
            <w:tcW w:type="dxa" w:w="113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Medium</w:t>
            </w:r>
          </w:p>
        </w:tc>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Phased hiring plan; UK mental health tech talent market is active</w:t>
            </w:r>
          </w:p>
        </w:tc>
      </w:tr>
    </w:tbl>
    <w:p/>
    <w:p>
      <w:pPr>
        <w:spacing w:before="240" w:after="120"/>
      </w:pPr>
      <w:r>
        <w:rPr>
          <w:b/>
          <w:color w:val="2E7D4F"/>
          <w:sz w:val="26"/>
        </w:rPr>
        <w:t>Regulatory risk in detail</w:t>
      </w:r>
    </w:p>
    <w:p>
      <w:pPr>
        <w:spacing w:after="160" w:before="0"/>
      </w:pPr>
      <w:r>
        <w:rPr>
          <w:color w:val="2D2D2D"/>
          <w:sz w:val="22"/>
        </w:rPr>
        <w:t>Healing Space UK is an assistive tool, not a diagnostic one. Every clinical decision — diagnosis, medication, treatment planning — remains with a qualified clinician. The AI provides structured CBT exercises and contextual conversation. This places the platform firmly in the lower-risk category under current MHRA guidance for Software as a Medical Device (SaMD). We are monitoring the EU AI Act implementation timeline and have engaged legal counsel on MHRA Class I/IIa classification. Our NICE NG222 alignment and audit trail infrastructure position us well for the increasingly detailed regulatory scrutiny that digital health tools will face over the next three to five years.</w:t>
      </w:r>
    </w:p>
    <w:p>
      <w:r>
        <w:br w:type="page"/>
      </w:r>
    </w:p>
    <w:p>
      <w:pPr>
        <w:spacing w:before="360" w:after="120"/>
        <w:pBdr>
          <w:bottom w:val="single" w:sz="6" w:space="1" w:color="D4E8DA"/>
        </w:pBdr>
      </w:pPr>
      <w:r>
        <w:rPr>
          <w:b/>
          <w:color w:val="1A4D2E"/>
          <w:sz w:val="32"/>
        </w:rPr>
        <w:t>14.  Exit Strategy</w:t>
      </w:r>
    </w:p>
    <w:p>
      <w:pPr>
        <w:spacing w:before="240" w:after="120"/>
      </w:pPr>
      <w:r>
        <w:rPr>
          <w:b/>
          <w:color w:val="2E7D4F"/>
          <w:sz w:val="26"/>
        </w:rPr>
        <w:t>Primary exit: strategic acquisition</w:t>
      </w:r>
    </w:p>
    <w:p>
      <w:pPr>
        <w:spacing w:after="160" w:before="0"/>
      </w:pPr>
      <w:r>
        <w:rPr>
          <w:color w:val="2D2D2D"/>
          <w:sz w:val="22"/>
        </w:rPr>
        <w:t>The most probable exit is acquisition by a strategic buyer seeking an established UK NHS position, validated AI mental health technology, and a team with embedded NHS relationships. The M&amp;A market for digital mental health assets has been active, and US-origin platforms in particular are willing to pay a premium for UK clinical trial validation and NHS contract revenue, which would otherwise take them years to develop independently.</w:t>
      </w:r>
    </w:p>
    <w:p>
      <w:pPr>
        <w:spacing w:before="240" w:after="120"/>
      </w:pPr>
      <w:r>
        <w:rPr>
          <w:b/>
          <w:color w:val="2E7D4F"/>
          <w:sz w:val="26"/>
        </w:rPr>
        <w:t>Category A — US digital health acquirers</w:t>
      </w:r>
    </w:p>
    <w:p>
      <w:pPr>
        <w:pStyle w:val="ListBullet"/>
        <w:spacing w:after="80" w:before="0"/>
        <w:ind w:left="283"/>
      </w:pPr>
      <w:r>
        <w:rPr>
          <w:b/>
          <w:color w:val="2D2D2D"/>
          <w:sz w:val="22"/>
        </w:rPr>
        <w:t>Amwell (SilverCloud parent):</w:t>
      </w:r>
      <w:r>
        <w:rPr>
          <w:color w:val="2D2D2D"/>
          <w:sz w:val="22"/>
        </w:rPr>
        <w:t xml:space="preserve"> £1.8B market cap; established UK precedent through SilverCloud acquisition.</w:t>
      </w:r>
    </w:p>
    <w:p>
      <w:pPr>
        <w:pStyle w:val="ListBullet"/>
        <w:spacing w:after="80" w:before="0"/>
        <w:ind w:left="283"/>
      </w:pPr>
      <w:r>
        <w:rPr>
          <w:b/>
          <w:color w:val="2D2D2D"/>
          <w:sz w:val="22"/>
        </w:rPr>
        <w:t>Teladoc Health:</w:t>
      </w:r>
      <w:r>
        <w:rPr>
          <w:color w:val="2D2D2D"/>
          <w:sz w:val="22"/>
        </w:rPr>
        <w:t xml:space="preserve"> £6B market cap; actively seeking international mental health assets.</w:t>
      </w:r>
    </w:p>
    <w:p>
      <w:pPr>
        <w:pStyle w:val="ListBullet"/>
        <w:spacing w:after="80" w:before="0"/>
        <w:ind w:left="283"/>
      </w:pPr>
      <w:r>
        <w:rPr>
          <w:b/>
          <w:color w:val="2D2D2D"/>
          <w:sz w:val="22"/>
        </w:rPr>
        <w:t>Headspace Health / Ginger:</w:t>
      </w:r>
      <w:r>
        <w:rPr>
          <w:color w:val="2D2D2D"/>
          <w:sz w:val="22"/>
        </w:rPr>
        <w:t xml:space="preserve"> £3.1B valuation; seeking NHS market entry.</w:t>
      </w:r>
    </w:p>
    <w:p>
      <w:pPr>
        <w:pStyle w:val="ListBullet"/>
        <w:spacing w:after="80" w:before="0"/>
        <w:ind w:left="283"/>
      </w:pPr>
      <w:r>
        <w:rPr>
          <w:b/>
          <w:color w:val="2D2D2D"/>
          <w:sz w:val="22"/>
        </w:rPr>
        <w:t>Spring Health:</w:t>
      </w:r>
      <w:r>
        <w:rPr>
          <w:color w:val="2D2D2D"/>
          <w:sz w:val="22"/>
        </w:rPr>
        <w:t xml:space="preserve"> $7.5B valuation; international expansion underway.</w:t>
      </w:r>
    </w:p>
    <w:p>
      <w:pPr>
        <w:spacing w:before="240" w:after="120"/>
      </w:pPr>
      <w:r>
        <w:rPr>
          <w:b/>
          <w:color w:val="2E7D4F"/>
          <w:sz w:val="26"/>
        </w:rPr>
        <w:t>Category B — UK healthcare technology</w:t>
      </w:r>
    </w:p>
    <w:p>
      <w:pPr>
        <w:pStyle w:val="ListBullet"/>
        <w:spacing w:after="80" w:before="0"/>
        <w:ind w:left="283"/>
      </w:pPr>
      <w:r>
        <w:rPr>
          <w:b/>
          <w:color w:val="2D2D2D"/>
          <w:sz w:val="22"/>
        </w:rPr>
        <w:t>Kooth plc:</w:t>
      </w:r>
      <w:r>
        <w:rPr>
          <w:color w:val="2D2D2D"/>
          <w:sz w:val="22"/>
        </w:rPr>
        <w:t xml:space="preserve"> AIM-listed, seeking to expand its adult mental health portfolio.</w:t>
      </w:r>
    </w:p>
    <w:p>
      <w:pPr>
        <w:pStyle w:val="ListBullet"/>
        <w:spacing w:after="80" w:before="0"/>
        <w:ind w:left="283"/>
      </w:pPr>
      <w:r>
        <w:rPr>
          <w:b/>
          <w:color w:val="2D2D2D"/>
          <w:sz w:val="22"/>
        </w:rPr>
        <w:t>EMIS Group (UnitedHealth):</w:t>
      </w:r>
      <w:r>
        <w:rPr>
          <w:color w:val="2D2D2D"/>
          <w:sz w:val="22"/>
        </w:rPr>
        <w:t xml:space="preserve"> NHS primary care infrastructure incumbent, looking for mental health integration.</w:t>
      </w:r>
    </w:p>
    <w:p>
      <w:pPr>
        <w:pStyle w:val="ListBullet"/>
        <w:spacing w:after="80" w:before="0"/>
        <w:ind w:left="283"/>
      </w:pPr>
      <w:r>
        <w:rPr>
          <w:b/>
          <w:color w:val="2D2D2D"/>
          <w:sz w:val="22"/>
        </w:rPr>
        <w:t>System C:</w:t>
      </w:r>
      <w:r>
        <w:rPr>
          <w:color w:val="2D2D2D"/>
          <w:sz w:val="22"/>
        </w:rPr>
        <w:t xml:space="preserve"> NHS EPR supplier expanding into digital mental health.</w:t>
      </w:r>
    </w:p>
    <w:p>
      <w:pPr>
        <w:spacing w:before="240" w:after="120"/>
      </w:pPr>
      <w:r>
        <w:rPr>
          <w:b/>
          <w:color w:val="2E7D4F"/>
          <w:sz w:val="26"/>
        </w:rPr>
        <w:t>Secondary exit: AIM IPO</w:t>
      </w:r>
    </w:p>
    <w:p>
      <w:pPr>
        <w:spacing w:after="160" w:before="0"/>
      </w:pPr>
      <w:r>
        <w:rPr>
          <w:color w:val="2D2D2D"/>
          <w:sz w:val="22"/>
        </w:rPr>
        <w:t>If Healing Space UK reaches £5M+ ARR with 50+ NHS contracts and an international presence, an AIM listing following the Kooth plc precedent (listed 2020, £117M market cap at IPO) would provide full liquidity for all shareholders. Timeline: five to seven years from seed.</w:t>
      </w:r>
    </w:p>
    <w:p>
      <w:pPr>
        <w:spacing w:before="240" w:after="120"/>
      </w:pPr>
      <w:r>
        <w:rPr>
          <w:b/>
          <w:color w:val="2E7D4F"/>
          <w:sz w:val="26"/>
        </w:rPr>
        <w:t>Exit timeline</w:t>
      </w:r>
    </w:p>
    <w:tbl>
      <w:tblPr>
        <w:tblStyle w:val="TableGrid"/>
        <w:tblW w:type="auto" w:w="0"/>
        <w:jc w:val="left"/>
        <w:tblLook w:firstColumn="1" w:firstRow="1" w:lastColumn="0" w:lastRow="0" w:noHBand="0" w:noVBand="1" w:val="04A0"/>
      </w:tblPr>
      <w:tblGrid>
        <w:gridCol w:w="4561"/>
        <w:gridCol w:w="4561"/>
      </w:tblGrid>
      <w:tr>
        <w:tc>
          <w:tcPr>
            <w:tcW w:type="dxa" w:w="453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Stage</w:t>
            </w:r>
          </w:p>
        </w:tc>
        <w:tc>
          <w:tcPr>
            <w:tcW w:type="dxa" w:w="4819"/>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Target Timing</w:t>
            </w:r>
          </w:p>
        </w:tc>
      </w:tr>
      <w:tr>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Series A close</w:t>
            </w:r>
          </w:p>
        </w:tc>
        <w:tc>
          <w:tcPr>
            <w:tcW w:type="dxa" w:w="481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 months from Seed</w:t>
            </w:r>
          </w:p>
        </w:tc>
      </w:tr>
      <w:tr>
        <w:tc>
          <w:tcPr>
            <w:tcW w:type="dxa" w:w="45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Series B / growth round</w:t>
            </w:r>
          </w:p>
        </w:tc>
        <w:tc>
          <w:tcPr>
            <w:tcW w:type="dxa" w:w="4819"/>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36 months from Seed</w:t>
            </w:r>
          </w:p>
        </w:tc>
      </w:tr>
      <w:tr>
        <w:tc>
          <w:tcPr>
            <w:tcW w:type="dxa" w:w="45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Strategic acquisition or AIM IPO</w:t>
            </w:r>
          </w:p>
        </w:tc>
        <w:tc>
          <w:tcPr>
            <w:tcW w:type="dxa" w:w="4819"/>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5–7 years from Seed</w:t>
            </w:r>
          </w:p>
        </w:tc>
      </w:tr>
    </w:tbl>
    <w:p/>
    <w:p>
      <w:r>
        <w:br w:type="page"/>
      </w:r>
    </w:p>
    <w:p>
      <w:pPr>
        <w:spacing w:before="360" w:after="120"/>
        <w:pBdr>
          <w:bottom w:val="single" w:sz="6" w:space="1" w:color="D4E8DA"/>
        </w:pBdr>
      </w:pPr>
      <w:r>
        <w:rPr>
          <w:b/>
          <w:color w:val="1A4D2E"/>
          <w:sz w:val="32"/>
        </w:rPr>
        <w:t>15.  Appendices</w:t>
      </w:r>
    </w:p>
    <w:p>
      <w:pPr>
        <w:spacing w:before="240" w:after="120"/>
      </w:pPr>
      <w:r>
        <w:rPr>
          <w:b/>
          <w:color w:val="2E7D4F"/>
          <w:sz w:val="26"/>
        </w:rPr>
        <w:t>Appendix A: Technical specifications</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Component</w:t>
            </w:r>
          </w:p>
        </w:tc>
        <w:tc>
          <w:tcPr>
            <w:tcW w:type="dxa" w:w="6520"/>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Detail</w:t>
            </w:r>
          </w:p>
        </w:tc>
      </w:tr>
      <w:tr>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Backend</w:t>
            </w:r>
          </w:p>
        </w:tc>
        <w:tc>
          <w:tcPr>
            <w:tcW w:type="dxa" w:w="65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Python 3.11, Flask 3.0, Gunicorn</w:t>
            </w:r>
          </w:p>
        </w:tc>
      </w:tr>
      <w:tr>
        <w:tc>
          <w:tcPr>
            <w:tcW w:type="dxa" w:w="28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Database</w:t>
            </w:r>
          </w:p>
        </w:tc>
        <w:tc>
          <w:tcPr>
            <w:tcW w:type="dxa" w:w="6520"/>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PostgreSQL 15 (Railway, London region)</w:t>
            </w:r>
          </w:p>
        </w:tc>
      </w:tr>
      <w:tr>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Data access</w:t>
            </w:r>
          </w:p>
        </w:tc>
        <w:tc>
          <w:tcPr>
            <w:tcW w:type="dxa" w:w="65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psycopg2 (parameterised SQL throughout — zero injection surface)</w:t>
            </w:r>
          </w:p>
        </w:tc>
      </w:tr>
      <w:tr>
        <w:tc>
          <w:tcPr>
            <w:tcW w:type="dxa" w:w="28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AI</w:t>
            </w:r>
          </w:p>
        </w:tc>
        <w:tc>
          <w:tcPr>
            <w:tcW w:type="dxa" w:w="6520"/>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Groq API, Llama 3.3 70B Versatile</w:t>
            </w:r>
          </w:p>
        </w:tc>
      </w:tr>
      <w:tr>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Frontend</w:t>
            </w:r>
          </w:p>
        </w:tc>
        <w:tc>
          <w:tcPr>
            <w:tcW w:type="dxa" w:w="65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HTML5/CSS3/JavaScript (single-page application)</w:t>
            </w:r>
          </w:p>
        </w:tc>
      </w:tr>
      <w:tr>
        <w:tc>
          <w:tcPr>
            <w:tcW w:type="dxa" w:w="28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Mobile</w:t>
            </w:r>
          </w:p>
        </w:tc>
        <w:tc>
          <w:tcPr>
            <w:tcW w:type="dxa" w:w="6520"/>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Apache Capacitor (iOS 16+, Android 12+)</w:t>
            </w:r>
          </w:p>
        </w:tc>
      </w:tr>
      <w:tr>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Deployment</w:t>
            </w:r>
          </w:p>
        </w:tc>
        <w:tc>
          <w:tcPr>
            <w:tcW w:type="dxa" w:w="65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Railway (auto-deploy on commit)</w:t>
            </w:r>
          </w:p>
        </w:tc>
      </w:tr>
      <w:tr>
        <w:tc>
          <w:tcPr>
            <w:tcW w:type="dxa" w:w="28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Security</w:t>
            </w:r>
          </w:p>
        </w:tc>
        <w:tc>
          <w:tcPr>
            <w:tcW w:type="dxa" w:w="6520"/>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Argon2id password hashing, AES-256 at rest, TLS 1.3 in transit</w:t>
            </w:r>
          </w:p>
        </w:tc>
      </w:tr>
      <w:tr>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CI/CD</w:t>
            </w:r>
          </w:p>
        </w:tc>
        <w:tc>
          <w:tcPr>
            <w:tcW w:type="dxa" w:w="65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GitHub Actions (automated tests on every pull request)</w:t>
            </w:r>
          </w:p>
        </w:tc>
      </w:tr>
      <w:tr>
        <w:tc>
          <w:tcPr>
            <w:tcW w:type="dxa" w:w="2835"/>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Test coverage</w:t>
            </w:r>
          </w:p>
        </w:tc>
        <w:tc>
          <w:tcPr>
            <w:tcW w:type="dxa" w:w="6520"/>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180+ tests, 92% pass rate</w:t>
            </w:r>
          </w:p>
        </w:tc>
      </w:tr>
    </w:tbl>
    <w:p/>
    <w:p>
      <w:pPr>
        <w:spacing w:before="240" w:after="120"/>
      </w:pPr>
      <w:r>
        <w:rPr>
          <w:b/>
          <w:color w:val="2E7D4F"/>
          <w:sz w:val="26"/>
        </w:rPr>
        <w:t>Appendix B: Comparable transactions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98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Company</w:t>
            </w:r>
          </w:p>
        </w:tc>
        <w:tc>
          <w:tcPr>
            <w:tcW w:type="dxa" w:w="1984"/>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Round</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Amount</w:t>
            </w:r>
          </w:p>
        </w:tc>
        <w:tc>
          <w:tcPr>
            <w:tcW w:type="dxa" w:w="1701"/>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Valuation</w:t>
            </w:r>
          </w:p>
        </w:tc>
        <w:tc>
          <w:tcPr>
            <w:tcW w:type="dxa" w:w="1417"/>
            <w:shd w:val="clear" w:color="auto" w:fill="1A4D2E"/>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20"/>
              </w:rPr>
              <w:t>Date</w:t>
            </w:r>
          </w:p>
        </w:tc>
      </w:tr>
      <w:tr>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Kooth plc</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IPO (AIM)</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£17.5M raised</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£117M</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2020</w:t>
            </w:r>
          </w:p>
        </w:tc>
      </w:tr>
      <w:tr>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Limbic</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Series A</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£12M</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~£40M</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2022</w:t>
            </w:r>
          </w:p>
        </w:tc>
      </w:tr>
      <w:tr>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Ieso Digital Health</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Series B</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£30M</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~£100M</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2021</w:t>
            </w:r>
          </w:p>
        </w:tc>
      </w:tr>
      <w:tr>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SilverCloud</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Acquisition by Amwell</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~$50M</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~$200M</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2021</w:t>
            </w:r>
          </w:p>
        </w:tc>
      </w:tr>
      <w:tr>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Wysa</w:t>
            </w:r>
          </w:p>
        </w:tc>
        <w:tc>
          <w:tcPr>
            <w:tcW w:type="dxa" w:w="198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Series B</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$20M</w:t>
            </w:r>
          </w:p>
        </w:tc>
        <w:tc>
          <w:tcPr>
            <w:tcW w:type="dxa" w:w="170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~$70M</w:t>
            </w:r>
          </w:p>
        </w:tc>
        <w:tc>
          <w:tcPr>
            <w:tcW w:type="dxa" w:w="1417"/>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2022</w:t>
            </w:r>
          </w:p>
        </w:tc>
      </w:tr>
      <w:tr>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Unmind</w:t>
            </w:r>
          </w:p>
        </w:tc>
        <w:tc>
          <w:tcPr>
            <w:tcW w:type="dxa" w:w="1984"/>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Series B</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$47M</w:t>
            </w:r>
          </w:p>
        </w:tc>
        <w:tc>
          <w:tcPr>
            <w:tcW w:type="dxa" w:w="1701"/>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~£150M</w:t>
            </w:r>
          </w:p>
        </w:tc>
        <w:tc>
          <w:tcPr>
            <w:tcW w:type="dxa" w:w="1417"/>
            <w:shd w:val="clear" w:color="auto" w:fill="F4F9F6"/>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color w:val="2D2D2D"/>
                <w:sz w:val="20"/>
              </w:rPr>
              <w:t>2022</w:t>
            </w:r>
          </w:p>
        </w:tc>
      </w:tr>
    </w:tbl>
    <w:p/>
    <w:p>
      <w:pPr>
        <w:spacing w:after="160" w:before="0"/>
      </w:pPr>
      <w:r>
        <w:rPr>
          <w:color w:val="2D2D2D"/>
          <w:sz w:val="22"/>
        </w:rPr>
        <w:t>Our £1.5M pre-money seed valuation represents a meaningful discount to all of these benchmarks, reflecting both stage and the early window available to initial investors.</w:t>
      </w:r>
    </w:p>
    <w:p>
      <w:pPr>
        <w:spacing w:before="240" w:after="120"/>
      </w:pPr>
      <w:r>
        <w:rPr>
          <w:b/>
          <w:color w:val="2E7D4F"/>
          <w:sz w:val="26"/>
        </w:rPr>
        <w:t>Appendix C: Key references</w:t>
      </w:r>
    </w:p>
    <w:p>
      <w:pPr>
        <w:pStyle w:val="ListBullet"/>
        <w:spacing w:after="80" w:before="0"/>
        <w:ind w:left="283"/>
      </w:pPr>
      <w:r>
        <w:rPr>
          <w:b/>
          <w:color w:val="2D2D2D"/>
          <w:sz w:val="22"/>
        </w:rPr>
        <w:t>NHS England:</w:t>
      </w:r>
      <w:r>
        <w:rPr>
          <w:color w:val="2D2D2D"/>
          <w:sz w:val="22"/>
        </w:rPr>
        <w:t xml:space="preserve"> The Five Year Forward View for Mental Health (2016, updated 2024)</w:t>
      </w:r>
    </w:p>
    <w:p>
      <w:pPr>
        <w:pStyle w:val="ListBullet"/>
        <w:spacing w:after="80" w:before="0"/>
        <w:ind w:left="283"/>
      </w:pPr>
      <w:r>
        <w:rPr>
          <w:b/>
          <w:color w:val="2D2D2D"/>
          <w:sz w:val="22"/>
        </w:rPr>
        <w:t>NICE:</w:t>
      </w:r>
      <w:r>
        <w:rPr>
          <w:color w:val="2D2D2D"/>
          <w:sz w:val="22"/>
        </w:rPr>
        <w:t xml:space="preserve"> NG222 — Depression in adults: treatment and management (2022)</w:t>
      </w:r>
    </w:p>
    <w:p>
      <w:pPr>
        <w:pStyle w:val="ListBullet"/>
        <w:spacing w:after="80" w:before="0"/>
        <w:ind w:left="283"/>
      </w:pPr>
      <w:r>
        <w:rPr>
          <w:b/>
          <w:color w:val="2D2D2D"/>
          <w:sz w:val="22"/>
        </w:rPr>
        <w:t>NICE:</w:t>
      </w:r>
      <w:r>
        <w:rPr>
          <w:color w:val="2D2D2D"/>
          <w:sz w:val="22"/>
        </w:rPr>
        <w:t xml:space="preserve"> NG92 — Generalised anxiety disorder (2011, reviewed 2020)</w:t>
      </w:r>
    </w:p>
    <w:p>
      <w:pPr>
        <w:pStyle w:val="ListBullet"/>
        <w:spacing w:after="80" w:before="0"/>
        <w:ind w:left="283"/>
      </w:pPr>
      <w:r>
        <w:rPr>
          <w:b/>
          <w:color w:val="2D2D2D"/>
          <w:sz w:val="22"/>
        </w:rPr>
        <w:t>Centre for Mental Health:</w:t>
      </w:r>
      <w:r>
        <w:rPr>
          <w:color w:val="2D2D2D"/>
          <w:sz w:val="22"/>
        </w:rPr>
        <w:t xml:space="preserve"> The economic and social costs of mental health problems (2023)</w:t>
      </w:r>
    </w:p>
    <w:p>
      <w:pPr>
        <w:pStyle w:val="ListBullet"/>
        <w:spacing w:after="80" w:before="0"/>
        <w:ind w:left="283"/>
      </w:pPr>
      <w:r>
        <w:rPr>
          <w:b/>
          <w:color w:val="2D2D2D"/>
          <w:sz w:val="22"/>
        </w:rPr>
        <w:t>King's Fund:</w:t>
      </w:r>
      <w:r>
        <w:rPr>
          <w:color w:val="2D2D2D"/>
          <w:sz w:val="22"/>
        </w:rPr>
        <w:t xml:space="preserve"> Mental health and the productivity puzzle (2024)</w:t>
      </w:r>
    </w:p>
    <w:p>
      <w:pPr>
        <w:pStyle w:val="ListBullet"/>
        <w:spacing w:after="80" w:before="0"/>
        <w:ind w:left="283"/>
      </w:pPr>
      <w:r>
        <w:rPr>
          <w:b/>
          <w:color w:val="2D2D2D"/>
          <w:sz w:val="22"/>
        </w:rPr>
        <w:t>NHS Digital:</w:t>
      </w:r>
      <w:r>
        <w:rPr>
          <w:color w:val="2D2D2D"/>
          <w:sz w:val="22"/>
        </w:rPr>
        <w:t xml:space="preserve"> Mental Health Bulletin (2024)</w:t>
      </w:r>
    </w:p>
    <w:p>
      <w:pPr>
        <w:pStyle w:val="ListBullet"/>
        <w:spacing w:after="80" w:before="0"/>
        <w:ind w:left="283"/>
      </w:pPr>
      <w:r>
        <w:rPr>
          <w:b/>
          <w:color w:val="2D2D2D"/>
          <w:sz w:val="22"/>
        </w:rPr>
        <w:t>IQVIA:</w:t>
      </w:r>
      <w:r>
        <w:rPr>
          <w:color w:val="2D2D2D"/>
          <w:sz w:val="22"/>
        </w:rPr>
        <w:t xml:space="preserve"> Digital Health Trends 2024 — Mental Health Market Sizing</w:t>
      </w:r>
    </w:p>
    <w:p>
      <w:pPr>
        <w:pStyle w:val="ListBullet"/>
        <w:spacing w:after="80" w:before="0"/>
        <w:ind w:left="283"/>
      </w:pPr>
      <w:r>
        <w:rPr>
          <w:b/>
          <w:color w:val="2D2D2D"/>
          <w:sz w:val="22"/>
        </w:rPr>
        <w:t>Layard &amp; Clark:</w:t>
      </w:r>
      <w:r>
        <w:rPr>
          <w:color w:val="2D2D2D"/>
          <w:sz w:val="22"/>
        </w:rPr>
        <w:t xml:space="preserve"> Thrive — The Power of Evidence-Based Psychological Therapies (2014)</w:t>
      </w:r>
    </w:p>
    <w:p>
      <w:pPr>
        <w:spacing w:before="240" w:after="120"/>
      </w:pPr>
      <w:r>
        <w:rPr>
          <w:b/>
          <w:color w:val="2E7D4F"/>
          <w:sz w:val="26"/>
        </w:rPr>
        <w:t>Appendix D: Next steps for investors</w:t>
      </w:r>
    </w:p>
    <w:p>
      <w:pPr>
        <w:spacing w:after="80"/>
        <w:ind w:left="283"/>
      </w:pPr>
      <w:r>
        <w:rPr>
          <w:color w:val="2D2D2D"/>
          <w:sz w:val="22"/>
        </w:rPr>
        <w:t>1.  Sign NDA for full financial model and clinical trial outcome data access.</w:t>
      </w:r>
    </w:p>
    <w:p>
      <w:pPr>
        <w:spacing w:after="80"/>
        <w:ind w:left="283"/>
      </w:pPr>
      <w:r>
        <w:rPr>
          <w:color w:val="2D2D2D"/>
          <w:sz w:val="22"/>
        </w:rPr>
        <w:t>2.  Live platform demonstration (full walkthrough of all patient and clinician features).</w:t>
      </w:r>
    </w:p>
    <w:p>
      <w:pPr>
        <w:spacing w:after="80"/>
        <w:ind w:left="283"/>
      </w:pPr>
      <w:r>
        <w:rPr>
          <w:color w:val="2D2D2D"/>
          <w:sz w:val="22"/>
        </w:rPr>
        <w:t>3.  Meet the clinical advisory board and NHS trial site lead.</w:t>
      </w:r>
    </w:p>
    <w:p>
      <w:pPr>
        <w:spacing w:after="80"/>
        <w:ind w:left="283"/>
      </w:pPr>
      <w:r>
        <w:rPr>
          <w:color w:val="2D2D2D"/>
          <w:sz w:val="22"/>
        </w:rPr>
        <w:t>4.  Term sheet discussion.</w:t>
      </w:r>
    </w:p>
    <w:p>
      <w:pPr>
        <w:spacing w:after="80"/>
        <w:ind w:left="283"/>
      </w:pPr>
      <w:r>
        <w:rPr>
          <w:color w:val="2D2D2D"/>
          <w:sz w:val="22"/>
        </w:rPr>
        <w:t>5.  Due diligence (typically two to four weeks).</w:t>
      </w:r>
    </w:p>
    <w:p>
      <w:pPr>
        <w:spacing w:after="80"/>
        <w:ind w:left="283"/>
      </w:pPr>
      <w:r>
        <w:rPr>
          <w:color w:val="2D2D2D"/>
          <w:sz w:val="22"/>
        </w:rPr>
        <w:t>6.  Close.</w:t>
      </w:r>
    </w:p>
    <w:p/>
    <w:p>
      <w:pPr>
        <w:spacing w:after="80" w:before="0"/>
      </w:pPr>
      <w:r>
        <w:rPr>
          <w:color w:val="2D2D2D"/>
          <w:sz w:val="22"/>
        </w:rPr>
        <w:t>To arrange a meeting or request the full financial model, please contact us at:</w:t>
      </w:r>
    </w:p>
    <w:p>
      <w:pPr>
        <w:ind w:left="283"/>
      </w:pPr>
      <w:r>
        <w:rPr>
          <w:b/>
          <w:color w:val="1A4D2E"/>
          <w:sz w:val="22"/>
        </w:rPr>
        <w:t>Healing Space UK Ltd  |  healing-space.org.uk  |  Contact information available under NDA</w:t>
      </w:r>
    </w:p>
    <w:p/>
    <w:p>
      <w:pPr>
        <w:pBdr>
          <w:bottom w:val="single" w:sz="6" w:space="1" w:color="CCCCCC"/>
        </w:pBdr>
      </w:pPr>
    </w:p>
    <w:p>
      <w:pPr>
        <w:spacing w:before="200"/>
      </w:pPr>
      <w:r>
        <w:rPr>
          <w:i/>
          <w:color w:val="555555"/>
          <w:sz w:val="18"/>
        </w:rPr>
        <w:t>This document is confidential and intended solely for the named recipient. It does not constitute an offer to sell securities or financial advice. Past performance is not indicative of future results. Investment in early-stage companies carries significant risk, including the risk of total loss of capital. The financial projections contained herein are forward-looking estimates and are not guaranteed. Please seek independent financial and legal advice before investing.</w:t>
        <w:br/>
        <w:br/>
        <w:t>© 2026 Healing Space UK Ltd. All rights reserved. No part of this document may be reproduced or distributed without prior written permission.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