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CCD52">
      <w:pPr>
        <w:pStyle w:val="5"/>
        <w:keepNext w:val="0"/>
        <w:keepLines w:val="0"/>
        <w:widowControl/>
        <w:suppressLineNumbers w:val="0"/>
        <w:ind w:firstLine="420" w:firstLineChars="0"/>
        <w:rPr>
          <w:b w:val="0"/>
          <w:bCs w:val="0"/>
          <w:sz w:val="24"/>
          <w:szCs w:val="24"/>
        </w:rPr>
      </w:pPr>
      <w:r>
        <w:rPr>
          <w:b w:val="0"/>
          <w:bCs w:val="0"/>
          <w:sz w:val="24"/>
          <w:szCs w:val="24"/>
        </w:rPr>
        <w:t>本章主要介绍本文研究所使用的数据来源、数据结构及预处理流程。为了更好地研究不同职业在生成式大模型影响下的就业与收入时间轨迹变化，本文从多个权威渠道收集了跨时间、多维度的职业相关数据，并通过统一编码体系与时间序列处理方法完成数据清洗与整合，为后续实证分析提供一致、可比的数据基础。</w:t>
      </w:r>
    </w:p>
    <w:p w14:paraId="47F2030C">
      <w:pPr>
        <w:pStyle w:val="3"/>
        <w:keepNext w:val="0"/>
        <w:keepLines w:val="0"/>
        <w:widowControl/>
        <w:suppressLineNumbers w:val="0"/>
        <w:rPr>
          <w:b w:val="0"/>
          <w:bCs w:val="0"/>
          <w:sz w:val="24"/>
          <w:szCs w:val="24"/>
        </w:rPr>
      </w:pPr>
      <w:r>
        <w:rPr>
          <w:b w:val="0"/>
          <w:bCs w:val="0"/>
          <w:sz w:val="24"/>
          <w:szCs w:val="24"/>
        </w:rPr>
        <w:t>1. 数据收集</w:t>
      </w:r>
    </w:p>
    <w:p w14:paraId="5A8FCB74">
      <w:pPr>
        <w:pStyle w:val="5"/>
        <w:keepNext w:val="0"/>
        <w:keepLines w:val="0"/>
        <w:widowControl/>
        <w:suppressLineNumbers w:val="0"/>
        <w:ind w:firstLine="420" w:firstLineChars="0"/>
        <w:rPr>
          <w:b w:val="0"/>
          <w:bCs w:val="0"/>
          <w:sz w:val="24"/>
          <w:szCs w:val="24"/>
        </w:rPr>
      </w:pPr>
      <w:r>
        <w:rPr>
          <w:b w:val="0"/>
          <w:bCs w:val="0"/>
          <w:sz w:val="24"/>
          <w:szCs w:val="24"/>
        </w:rPr>
        <w:t>为保证研究结果的可靠性与可解释性，本文选取了具有官方权威性与职业信息覆盖度的数据源，构建职业层面的季度时间序列数据。各数据源及其用途如下表所示。</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368"/>
        <w:gridCol w:w="2842"/>
        <w:gridCol w:w="4186"/>
      </w:tblGrid>
      <w:tr w14:paraId="147390AB">
        <w:trPr>
          <w:tblHeader/>
          <w:tblCellSpacing w:w="15" w:type="dxa"/>
        </w:trPr>
        <w:tc>
          <w:tcPr>
            <w:tcW w:w="1323" w:type="dxa"/>
            <w:tcBorders>
              <w:top w:val="single" w:color="000000" w:sz="12" w:space="0"/>
              <w:bottom w:val="single" w:color="000000" w:sz="4" w:space="0"/>
              <w:tl2br w:val="nil"/>
            </w:tcBorders>
            <w:shd w:val="clear" w:color="auto" w:fill="auto"/>
            <w:vAlign w:val="center"/>
          </w:tcPr>
          <w:p w14:paraId="270AD5AE">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t>数据来源</w:t>
            </w:r>
          </w:p>
        </w:tc>
        <w:tc>
          <w:tcPr>
            <w:tcW w:w="2812" w:type="dxa"/>
            <w:tcBorders>
              <w:top w:val="single" w:color="000000" w:sz="12" w:space="0"/>
              <w:bottom w:val="single" w:color="000000" w:sz="4" w:space="0"/>
            </w:tcBorders>
            <w:shd w:val="clear" w:color="auto" w:fill="auto"/>
            <w:vAlign w:val="center"/>
          </w:tcPr>
          <w:p w14:paraId="128EEB11">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t>网站地址</w:t>
            </w:r>
          </w:p>
        </w:tc>
        <w:tc>
          <w:tcPr>
            <w:tcW w:w="4141" w:type="dxa"/>
            <w:tcBorders>
              <w:top w:val="single" w:color="000000" w:sz="12" w:space="0"/>
              <w:bottom w:val="single" w:color="000000" w:sz="4" w:space="0"/>
            </w:tcBorders>
            <w:shd w:val="clear" w:color="auto" w:fill="auto"/>
            <w:vAlign w:val="center"/>
          </w:tcPr>
          <w:p w14:paraId="5C3D4FC7">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t>数据类型</w:t>
            </w:r>
          </w:p>
        </w:tc>
      </w:tr>
      <w:tr w14:paraId="64F16F67">
        <w:trPr>
          <w:tblCellSpacing w:w="15" w:type="dxa"/>
        </w:trPr>
        <w:tc>
          <w:tcPr>
            <w:tcW w:w="1323" w:type="dxa"/>
            <w:tcBorders>
              <w:top w:val="single" w:color="000000" w:sz="4" w:space="0"/>
            </w:tcBorders>
            <w:shd w:val="clear" w:color="auto" w:fill="auto"/>
            <w:vAlign w:val="center"/>
          </w:tcPr>
          <w:p w14:paraId="1CBDAF76">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t>U.S. Bureau of Labor Statistics（BLS）</w:t>
            </w:r>
          </w:p>
        </w:tc>
        <w:tc>
          <w:tcPr>
            <w:tcW w:w="2812" w:type="dxa"/>
            <w:tcBorders>
              <w:top w:val="single" w:color="000000" w:sz="4" w:space="0"/>
            </w:tcBorders>
            <w:shd w:val="clear" w:color="auto" w:fill="auto"/>
            <w:vAlign w:val="center"/>
          </w:tcPr>
          <w:p w14:paraId="2183349C">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fldChar w:fldCharType="begin"/>
            </w:r>
            <w:r>
              <w:rPr>
                <w:rFonts w:ascii="宋体" w:hAnsi="宋体" w:eastAsia="宋体" w:cs="宋体"/>
                <w:b w:val="0"/>
                <w:bCs w:val="0"/>
                <w:color w:val="000000"/>
                <w:kern w:val="0"/>
                <w:sz w:val="18"/>
                <w:szCs w:val="18"/>
                <w:lang w:val="en-US" w:eastAsia="zh-CN" w:bidi="ar"/>
              </w:rPr>
              <w:instrText xml:space="preserve"> HYPERLINK "https://data.bls.gov/cew" \t "_blank" </w:instrText>
            </w:r>
            <w:r>
              <w:rPr>
                <w:rFonts w:ascii="宋体" w:hAnsi="宋体" w:eastAsia="宋体" w:cs="宋体"/>
                <w:b w:val="0"/>
                <w:bCs w:val="0"/>
                <w:color w:val="000000"/>
                <w:kern w:val="0"/>
                <w:sz w:val="18"/>
                <w:szCs w:val="18"/>
                <w:lang w:val="en-US" w:eastAsia="zh-CN" w:bidi="ar"/>
              </w:rPr>
              <w:fldChar w:fldCharType="separate"/>
            </w:r>
            <w:r>
              <w:rPr>
                <w:rStyle w:val="10"/>
                <w:rFonts w:ascii="宋体" w:hAnsi="宋体" w:eastAsia="宋体" w:cs="宋体"/>
                <w:b w:val="0"/>
                <w:bCs w:val="0"/>
                <w:color w:val="000000"/>
                <w:sz w:val="18"/>
                <w:szCs w:val="18"/>
              </w:rPr>
              <w:t>https://data.bls.gov/cew</w:t>
            </w:r>
            <w:r>
              <w:rPr>
                <w:rFonts w:ascii="宋体" w:hAnsi="宋体" w:eastAsia="宋体" w:cs="宋体"/>
                <w:b w:val="0"/>
                <w:bCs w:val="0"/>
                <w:color w:val="000000"/>
                <w:kern w:val="0"/>
                <w:sz w:val="18"/>
                <w:szCs w:val="18"/>
                <w:lang w:val="en-US" w:eastAsia="zh-CN" w:bidi="ar"/>
              </w:rPr>
              <w:fldChar w:fldCharType="end"/>
            </w:r>
          </w:p>
        </w:tc>
        <w:tc>
          <w:tcPr>
            <w:tcW w:w="4141" w:type="dxa"/>
            <w:tcBorders>
              <w:top w:val="single" w:color="000000" w:sz="4" w:space="0"/>
            </w:tcBorders>
            <w:shd w:val="clear" w:color="auto" w:fill="auto"/>
            <w:vAlign w:val="center"/>
          </w:tcPr>
          <w:p w14:paraId="2E64A09E">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t>2020年第一季度至2025年第二季度的就业人数、平均周工资等季度数据</w:t>
            </w:r>
          </w:p>
        </w:tc>
      </w:tr>
      <w:tr w14:paraId="66E75F89">
        <w:trPr>
          <w:tblCellSpacing w:w="15" w:type="dxa"/>
        </w:trPr>
        <w:tc>
          <w:tcPr>
            <w:tcW w:w="1323" w:type="dxa"/>
            <w:shd w:val="clear" w:color="auto" w:fill="auto"/>
            <w:vAlign w:val="center"/>
          </w:tcPr>
          <w:p w14:paraId="4EEF10BA">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t>Occupational Information Network（O*NET）</w:t>
            </w:r>
          </w:p>
        </w:tc>
        <w:tc>
          <w:tcPr>
            <w:tcW w:w="2812" w:type="dxa"/>
            <w:shd w:val="clear" w:color="auto" w:fill="auto"/>
            <w:vAlign w:val="center"/>
          </w:tcPr>
          <w:p w14:paraId="0A197DED">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fldChar w:fldCharType="begin"/>
            </w:r>
            <w:r>
              <w:rPr>
                <w:rFonts w:ascii="宋体" w:hAnsi="宋体" w:eastAsia="宋体" w:cs="宋体"/>
                <w:b w:val="0"/>
                <w:bCs w:val="0"/>
                <w:color w:val="000000"/>
                <w:kern w:val="0"/>
                <w:sz w:val="18"/>
                <w:szCs w:val="18"/>
                <w:lang w:val="en-US" w:eastAsia="zh-CN" w:bidi="ar"/>
              </w:rPr>
              <w:instrText xml:space="preserve"> HYPERLINK "https://www.onetonline.org/" \t "_blank" </w:instrText>
            </w:r>
            <w:r>
              <w:rPr>
                <w:rFonts w:ascii="宋体" w:hAnsi="宋体" w:eastAsia="宋体" w:cs="宋体"/>
                <w:b w:val="0"/>
                <w:bCs w:val="0"/>
                <w:color w:val="000000"/>
                <w:kern w:val="0"/>
                <w:sz w:val="18"/>
                <w:szCs w:val="18"/>
                <w:lang w:val="en-US" w:eastAsia="zh-CN" w:bidi="ar"/>
              </w:rPr>
              <w:fldChar w:fldCharType="separate"/>
            </w:r>
            <w:r>
              <w:rPr>
                <w:rStyle w:val="10"/>
                <w:rFonts w:ascii="宋体" w:hAnsi="宋体" w:eastAsia="宋体" w:cs="宋体"/>
                <w:b w:val="0"/>
                <w:bCs w:val="0"/>
                <w:color w:val="000000"/>
                <w:sz w:val="18"/>
                <w:szCs w:val="18"/>
              </w:rPr>
              <w:t>https://www.onetonline.org/</w:t>
            </w:r>
            <w:r>
              <w:rPr>
                <w:rFonts w:ascii="宋体" w:hAnsi="宋体" w:eastAsia="宋体" w:cs="宋体"/>
                <w:b w:val="0"/>
                <w:bCs w:val="0"/>
                <w:color w:val="000000"/>
                <w:kern w:val="0"/>
                <w:sz w:val="18"/>
                <w:szCs w:val="18"/>
                <w:lang w:val="en-US" w:eastAsia="zh-CN" w:bidi="ar"/>
              </w:rPr>
              <w:fldChar w:fldCharType="end"/>
            </w:r>
          </w:p>
        </w:tc>
        <w:tc>
          <w:tcPr>
            <w:tcW w:w="4141" w:type="dxa"/>
            <w:shd w:val="clear" w:color="auto" w:fill="auto"/>
            <w:vAlign w:val="center"/>
          </w:tcPr>
          <w:p w14:paraId="101B1332">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t>不同职位职业相似性、知识结构相似度等职业特征变量</w:t>
            </w:r>
          </w:p>
        </w:tc>
      </w:tr>
      <w:tr w14:paraId="54277466">
        <w:trPr>
          <w:tblCellSpacing w:w="15" w:type="dxa"/>
        </w:trPr>
        <w:tc>
          <w:tcPr>
            <w:tcW w:w="1323" w:type="dxa"/>
            <w:shd w:val="clear" w:color="auto" w:fill="auto"/>
            <w:vAlign w:val="center"/>
          </w:tcPr>
          <w:p w14:paraId="23186CC2">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t>The National Strength and Conditioning Association（NSCA）</w:t>
            </w:r>
          </w:p>
        </w:tc>
        <w:tc>
          <w:tcPr>
            <w:tcW w:w="2812" w:type="dxa"/>
            <w:shd w:val="clear" w:color="auto" w:fill="auto"/>
            <w:vAlign w:val="center"/>
          </w:tcPr>
          <w:p w14:paraId="76ACEA6F">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fldChar w:fldCharType="begin"/>
            </w:r>
            <w:r>
              <w:rPr>
                <w:rFonts w:ascii="宋体" w:hAnsi="宋体" w:eastAsia="宋体" w:cs="宋体"/>
                <w:b w:val="0"/>
                <w:bCs w:val="0"/>
                <w:color w:val="000000"/>
                <w:kern w:val="0"/>
                <w:sz w:val="18"/>
                <w:szCs w:val="18"/>
                <w:lang w:val="en-US" w:eastAsia="zh-CN" w:bidi="ar"/>
              </w:rPr>
              <w:instrText xml:space="preserve"> HYPERLINK "https://www.nsca.org/resources/naics-soc-codes/" \t "_blank" </w:instrText>
            </w:r>
            <w:r>
              <w:rPr>
                <w:rFonts w:ascii="宋体" w:hAnsi="宋体" w:eastAsia="宋体" w:cs="宋体"/>
                <w:b w:val="0"/>
                <w:bCs w:val="0"/>
                <w:color w:val="000000"/>
                <w:kern w:val="0"/>
                <w:sz w:val="18"/>
                <w:szCs w:val="18"/>
                <w:lang w:val="en-US" w:eastAsia="zh-CN" w:bidi="ar"/>
              </w:rPr>
              <w:fldChar w:fldCharType="separate"/>
            </w:r>
            <w:r>
              <w:rPr>
                <w:rStyle w:val="10"/>
                <w:rFonts w:ascii="宋体" w:hAnsi="宋体" w:eastAsia="宋体" w:cs="宋体"/>
                <w:b w:val="0"/>
                <w:bCs w:val="0"/>
                <w:color w:val="000000"/>
                <w:sz w:val="18"/>
                <w:szCs w:val="18"/>
              </w:rPr>
              <w:t>https://www.nsca.org/resources/naics-soc-codes/</w:t>
            </w:r>
            <w:r>
              <w:rPr>
                <w:rFonts w:ascii="宋体" w:hAnsi="宋体" w:eastAsia="宋体" w:cs="宋体"/>
                <w:b w:val="0"/>
                <w:bCs w:val="0"/>
                <w:color w:val="000000"/>
                <w:kern w:val="0"/>
                <w:sz w:val="18"/>
                <w:szCs w:val="18"/>
                <w:lang w:val="en-US" w:eastAsia="zh-CN" w:bidi="ar"/>
              </w:rPr>
              <w:fldChar w:fldCharType="end"/>
            </w:r>
          </w:p>
        </w:tc>
        <w:tc>
          <w:tcPr>
            <w:tcW w:w="4141" w:type="dxa"/>
            <w:shd w:val="clear" w:color="auto" w:fill="auto"/>
            <w:vAlign w:val="center"/>
          </w:tcPr>
          <w:p w14:paraId="7B1B9F78">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t>NAICS、SOC与SIC职位编号转换表</w:t>
            </w:r>
          </w:p>
        </w:tc>
      </w:tr>
      <w:tr w14:paraId="76F1F07C">
        <w:trPr>
          <w:tblCellSpacing w:w="15" w:type="dxa"/>
        </w:trPr>
        <w:tc>
          <w:tcPr>
            <w:tcW w:w="1323" w:type="dxa"/>
            <w:shd w:val="clear" w:color="auto" w:fill="auto"/>
            <w:vAlign w:val="center"/>
          </w:tcPr>
          <w:p w14:paraId="46E2990F">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t>Kaggle（BLS Employment Dataset）</w:t>
            </w:r>
          </w:p>
        </w:tc>
        <w:tc>
          <w:tcPr>
            <w:tcW w:w="2812" w:type="dxa"/>
            <w:shd w:val="clear" w:color="auto" w:fill="auto"/>
            <w:vAlign w:val="center"/>
          </w:tcPr>
          <w:p w14:paraId="25ADBCFE">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fldChar w:fldCharType="begin"/>
            </w:r>
            <w:r>
              <w:rPr>
                <w:rFonts w:ascii="宋体" w:hAnsi="宋体" w:eastAsia="宋体" w:cs="宋体"/>
                <w:b w:val="0"/>
                <w:bCs w:val="0"/>
                <w:color w:val="000000"/>
                <w:kern w:val="0"/>
                <w:sz w:val="18"/>
                <w:szCs w:val="18"/>
                <w:lang w:val="en-US" w:eastAsia="zh-CN" w:bidi="ar"/>
              </w:rPr>
              <w:instrText xml:space="preserve"> HYPERLINK "https://www.kaggle.com/datasets/bls/employment" \t "_blank" </w:instrText>
            </w:r>
            <w:r>
              <w:rPr>
                <w:rFonts w:ascii="宋体" w:hAnsi="宋体" w:eastAsia="宋体" w:cs="宋体"/>
                <w:b w:val="0"/>
                <w:bCs w:val="0"/>
                <w:color w:val="000000"/>
                <w:kern w:val="0"/>
                <w:sz w:val="18"/>
                <w:szCs w:val="18"/>
                <w:lang w:val="en-US" w:eastAsia="zh-CN" w:bidi="ar"/>
              </w:rPr>
              <w:fldChar w:fldCharType="separate"/>
            </w:r>
            <w:r>
              <w:rPr>
                <w:rStyle w:val="10"/>
                <w:rFonts w:ascii="宋体" w:hAnsi="宋体" w:eastAsia="宋体" w:cs="宋体"/>
                <w:b w:val="0"/>
                <w:bCs w:val="0"/>
                <w:color w:val="000000"/>
                <w:sz w:val="18"/>
                <w:szCs w:val="18"/>
              </w:rPr>
              <w:t>https://www.kaggle.com/datasets/bls/employment</w:t>
            </w:r>
            <w:r>
              <w:rPr>
                <w:rFonts w:ascii="宋体" w:hAnsi="宋体" w:eastAsia="宋体" w:cs="宋体"/>
                <w:b w:val="0"/>
                <w:bCs w:val="0"/>
                <w:color w:val="000000"/>
                <w:kern w:val="0"/>
                <w:sz w:val="18"/>
                <w:szCs w:val="18"/>
                <w:lang w:val="en-US" w:eastAsia="zh-CN" w:bidi="ar"/>
              </w:rPr>
              <w:fldChar w:fldCharType="end"/>
            </w:r>
          </w:p>
        </w:tc>
        <w:tc>
          <w:tcPr>
            <w:tcW w:w="4141" w:type="dxa"/>
            <w:shd w:val="clear" w:color="auto" w:fill="auto"/>
            <w:vAlign w:val="center"/>
          </w:tcPr>
          <w:p w14:paraId="4B2905BF">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t>全国范围内就业、工时与收入信息估算数据</w:t>
            </w:r>
          </w:p>
        </w:tc>
      </w:tr>
      <w:tr w14:paraId="02037F9C">
        <w:trPr>
          <w:tblCellSpacing w:w="15" w:type="dxa"/>
        </w:trPr>
        <w:tc>
          <w:tcPr>
            <w:tcW w:w="1323" w:type="dxa"/>
            <w:tcBorders>
              <w:bottom w:val="single" w:color="000000" w:sz="12" w:space="0"/>
            </w:tcBorders>
            <w:shd w:val="clear" w:color="auto" w:fill="auto"/>
            <w:vAlign w:val="center"/>
          </w:tcPr>
          <w:p w14:paraId="6DE9C603">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t>CDDO AI Exposure Analysis</w:t>
            </w:r>
          </w:p>
        </w:tc>
        <w:tc>
          <w:tcPr>
            <w:tcW w:w="2812" w:type="dxa"/>
            <w:tcBorders>
              <w:bottom w:val="single" w:color="000000" w:sz="12" w:space="0"/>
            </w:tcBorders>
            <w:shd w:val="clear" w:color="auto" w:fill="auto"/>
            <w:vAlign w:val="center"/>
          </w:tcPr>
          <w:p w14:paraId="7A38BDB3">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fldChar w:fldCharType="begin"/>
            </w:r>
            <w:r>
              <w:rPr>
                <w:rFonts w:ascii="宋体" w:hAnsi="宋体" w:eastAsia="宋体" w:cs="宋体"/>
                <w:b w:val="0"/>
                <w:bCs w:val="0"/>
                <w:color w:val="000000"/>
                <w:kern w:val="0"/>
                <w:sz w:val="18"/>
                <w:szCs w:val="18"/>
                <w:lang w:val="en-US" w:eastAsia="zh-CN" w:bidi="ar"/>
              </w:rPr>
              <w:instrText xml:space="preserve"> HYPERLINK "https://github.com/co-cddo/c-af-econ-ai-exposure-analysis" \t "_blank" </w:instrText>
            </w:r>
            <w:r>
              <w:rPr>
                <w:rFonts w:ascii="宋体" w:hAnsi="宋体" w:eastAsia="宋体" w:cs="宋体"/>
                <w:b w:val="0"/>
                <w:bCs w:val="0"/>
                <w:color w:val="000000"/>
                <w:kern w:val="0"/>
                <w:sz w:val="18"/>
                <w:szCs w:val="18"/>
                <w:lang w:val="en-US" w:eastAsia="zh-CN" w:bidi="ar"/>
              </w:rPr>
              <w:fldChar w:fldCharType="separate"/>
            </w:r>
            <w:r>
              <w:rPr>
                <w:rStyle w:val="10"/>
                <w:rFonts w:ascii="宋体" w:hAnsi="宋体" w:eastAsia="宋体" w:cs="宋体"/>
                <w:b w:val="0"/>
                <w:bCs w:val="0"/>
                <w:color w:val="000000"/>
                <w:sz w:val="18"/>
                <w:szCs w:val="18"/>
              </w:rPr>
              <w:t>https://github.com/co-cddo/c-af-econ-ai-exposure-analysis</w:t>
            </w:r>
            <w:r>
              <w:rPr>
                <w:rFonts w:ascii="宋体" w:hAnsi="宋体" w:eastAsia="宋体" w:cs="宋体"/>
                <w:b w:val="0"/>
                <w:bCs w:val="0"/>
                <w:color w:val="000000"/>
                <w:kern w:val="0"/>
                <w:sz w:val="18"/>
                <w:szCs w:val="18"/>
                <w:lang w:val="en-US" w:eastAsia="zh-CN" w:bidi="ar"/>
              </w:rPr>
              <w:fldChar w:fldCharType="end"/>
            </w:r>
          </w:p>
        </w:tc>
        <w:tc>
          <w:tcPr>
            <w:tcW w:w="4141" w:type="dxa"/>
            <w:tcBorders>
              <w:bottom w:val="single" w:color="000000" w:sz="12" w:space="0"/>
            </w:tcBorders>
            <w:shd w:val="clear" w:color="auto" w:fill="auto"/>
            <w:vAlign w:val="center"/>
          </w:tcPr>
          <w:p w14:paraId="2988B000">
            <w:pPr>
              <w:keepNext w:val="0"/>
              <w:keepLines w:val="0"/>
              <w:widowControl/>
              <w:suppressLineNumbers w:val="0"/>
              <w:jc w:val="center"/>
              <w:rPr>
                <w:b w:val="0"/>
                <w:bCs w:val="0"/>
                <w:color w:val="000000"/>
                <w:sz w:val="18"/>
                <w:szCs w:val="18"/>
              </w:rPr>
            </w:pPr>
            <w:r>
              <w:rPr>
                <w:rFonts w:ascii="宋体" w:hAnsi="宋体" w:eastAsia="宋体" w:cs="宋体"/>
                <w:b w:val="0"/>
                <w:bCs w:val="0"/>
                <w:color w:val="000000"/>
                <w:kern w:val="0"/>
                <w:sz w:val="18"/>
                <w:szCs w:val="18"/>
                <w:lang w:val="en-US" w:eastAsia="zh-CN" w:bidi="ar"/>
              </w:rPr>
              <w:t>针对不同职业任务的定量评分（AI曝光分数），用于预测未来自动化风险与就业变化趋势</w:t>
            </w:r>
          </w:p>
        </w:tc>
      </w:tr>
    </w:tbl>
    <w:p w14:paraId="6C76295E">
      <w:pPr>
        <w:pStyle w:val="5"/>
        <w:keepNext w:val="0"/>
        <w:keepLines w:val="0"/>
        <w:widowControl/>
        <w:suppressLineNumbers w:val="0"/>
        <w:ind w:firstLine="420" w:firstLineChars="0"/>
        <w:rPr>
          <w:b w:val="0"/>
          <w:bCs w:val="0"/>
          <w:sz w:val="24"/>
          <w:szCs w:val="24"/>
        </w:rPr>
      </w:pPr>
      <w:r>
        <w:rPr>
          <w:b w:val="0"/>
          <w:bCs w:val="0"/>
          <w:sz w:val="24"/>
          <w:szCs w:val="24"/>
        </w:rPr>
        <w:t>其中，BLS-CEW数据提供了职业的核心时间序列指标；O*NET数据提供了职业层面的结构性特征变量，用于刻画职业之间的相似性及知识结构差异；NSCA转换表用于统一不同数据源之间的编码体系；Kaggle数据作为补充数据源，用于增强样本覆盖范围并提高数据一致性验证能力。此外，CDDO发布的AI Exposure Analysis数据集提供了职业任务层面的量化评分（AI曝光分数），用于衡量不同职业受到生成式大模型影响的潜在程度，并进一步用于预测未来自动化风险与就业变化趋势。</w:t>
      </w:r>
    </w:p>
    <w:p w14:paraId="5240F97D">
      <w:pPr>
        <w:pStyle w:val="3"/>
        <w:keepNext w:val="0"/>
        <w:keepLines w:val="0"/>
        <w:widowControl/>
        <w:suppressLineNumbers w:val="0"/>
        <w:rPr>
          <w:b w:val="0"/>
          <w:bCs w:val="0"/>
          <w:sz w:val="24"/>
          <w:szCs w:val="24"/>
        </w:rPr>
      </w:pPr>
      <w:r>
        <w:rPr>
          <w:b w:val="0"/>
          <w:bCs w:val="0"/>
          <w:sz w:val="24"/>
          <w:szCs w:val="24"/>
        </w:rPr>
        <w:t>2. 数据预处理流程</w:t>
      </w:r>
    </w:p>
    <w:p w14:paraId="126CCE87">
      <w:pPr>
        <w:pStyle w:val="5"/>
        <w:keepNext w:val="0"/>
        <w:keepLines w:val="0"/>
        <w:widowControl/>
        <w:suppressLineNumbers w:val="0"/>
        <w:ind w:firstLine="420" w:firstLineChars="0"/>
        <w:rPr>
          <w:b w:val="0"/>
          <w:bCs w:val="0"/>
          <w:sz w:val="24"/>
          <w:szCs w:val="24"/>
        </w:rPr>
      </w:pPr>
      <w:r>
        <w:rPr>
          <w:b w:val="0"/>
          <w:bCs w:val="0"/>
          <w:sz w:val="24"/>
          <w:szCs w:val="24"/>
        </w:rPr>
        <w:t>由于不同数据源的统计口径与编码范式存在差异，且部分季度数据存在缺失情况，本文对原始数据进行统一格式转换与缺失处理。</w:t>
      </w:r>
    </w:p>
    <w:p w14:paraId="7873BF01">
      <w:pPr>
        <w:pStyle w:val="4"/>
        <w:keepNext w:val="0"/>
        <w:keepLines w:val="0"/>
        <w:widowControl/>
        <w:suppressLineNumbers w:val="0"/>
        <w:rPr>
          <w:b w:val="0"/>
          <w:bCs w:val="0"/>
          <w:sz w:val="24"/>
          <w:szCs w:val="24"/>
        </w:rPr>
      </w:pPr>
      <w:r>
        <w:rPr>
          <w:b w:val="0"/>
          <w:bCs w:val="0"/>
          <w:sz w:val="24"/>
          <w:szCs w:val="24"/>
        </w:rPr>
        <w:t xml:space="preserve">2.1 </w:t>
      </w:r>
      <w:r>
        <w:rPr>
          <w:rFonts w:hint="eastAsia"/>
          <w:b w:val="0"/>
          <w:bCs w:val="0"/>
          <w:sz w:val="24"/>
          <w:szCs w:val="24"/>
          <w:lang w:val="en-US" w:eastAsia="zh-CN"/>
        </w:rPr>
        <w:t>职业分类</w:t>
      </w:r>
      <w:r>
        <w:rPr>
          <w:b w:val="0"/>
          <w:bCs w:val="0"/>
          <w:sz w:val="24"/>
          <w:szCs w:val="24"/>
        </w:rPr>
        <w:t>编码转换与匹配</w:t>
      </w:r>
    </w:p>
    <w:p w14:paraId="6469F7F9">
      <w:pPr>
        <w:pStyle w:val="4"/>
        <w:keepNext w:val="0"/>
        <w:keepLines w:val="0"/>
        <w:widowControl/>
        <w:suppressLineNumbers w:val="0"/>
        <w:ind w:firstLine="420" w:firstLineChars="0"/>
        <w:rPr>
          <w:b w:val="0"/>
          <w:bCs w:val="0"/>
          <w:sz w:val="24"/>
          <w:szCs w:val="24"/>
        </w:rPr>
      </w:pPr>
      <w:r>
        <w:rPr>
          <w:rFonts w:hint="default" w:ascii="Segoe UI" w:hAnsi="Segoe UI" w:eastAsia="兰亭宋体" w:cs="Segoe UI"/>
          <w:b w:val="0"/>
          <w:bCs w:val="0"/>
          <w:kern w:val="0"/>
          <w:sz w:val="24"/>
          <w:szCs w:val="24"/>
          <w:lang w:val="en-US" w:eastAsia="zh-CN" w:bidi="ar"/>
        </w:rPr>
        <w:t>BLS-CEW 与O NET 数据分别基于NAICS 行业分类与 SOC 职业分类，因编码体系差异无法直接对接。为此，本文采用 NSCA 提供的 NAICS-SOC-SIC 转换矩阵构建映射框架。处理过程中，鉴于一个 NAICS 行业大类通常涵盖多个 SOC 职业子类，本文采取行业向职业维度展开的逻辑，将基于 NAICS 的行业季度指标映射至对应的 SOC 职业集合中。通过此种编码对齐方式，实现了行业层面统计数据与 ONET 职业特征数据的口径统一，为后续实证分析奠定了数据基础。</w:t>
      </w:r>
    </w:p>
    <w:p w14:paraId="0CA6391D">
      <w:pPr>
        <w:pStyle w:val="4"/>
        <w:keepNext w:val="0"/>
        <w:keepLines w:val="0"/>
        <w:widowControl/>
        <w:suppressLineNumbers w:val="0"/>
        <w:ind w:firstLine="420" w:firstLineChars="0"/>
        <w:rPr>
          <w:b w:val="0"/>
          <w:bCs w:val="0"/>
          <w:sz w:val="24"/>
          <w:szCs w:val="24"/>
        </w:rPr>
      </w:pPr>
      <w:r>
        <w:rPr>
          <w:b w:val="0"/>
          <w:bCs w:val="0"/>
          <w:sz w:val="24"/>
          <w:szCs w:val="24"/>
        </w:rPr>
        <w:t>2.2 季度时间序列缺失值处理</w:t>
      </w:r>
    </w:p>
    <w:p w14:paraId="701EA016">
      <w:pPr>
        <w:bidi w:val="0"/>
        <w:ind w:firstLine="420" w:firstLineChars="0"/>
        <w:rPr>
          <w:rFonts w:hint="default" w:ascii="Segoe UI" w:hAnsi="Segoe UI" w:eastAsia="兰亭宋体" w:cs="Segoe UI"/>
          <w:b w:val="0"/>
          <w:bCs w:val="0"/>
          <w:kern w:val="0"/>
          <w:sz w:val="24"/>
          <w:szCs w:val="24"/>
          <w:lang w:val="en-US" w:eastAsia="zh-CN" w:bidi="ar"/>
        </w:rPr>
      </w:pPr>
      <w:r>
        <w:rPr>
          <w:rFonts w:hint="default" w:ascii="Segoe UI" w:hAnsi="Segoe UI" w:eastAsia="兰亭宋体" w:cs="Segoe UI"/>
          <w:b w:val="0"/>
          <w:bCs w:val="0"/>
          <w:kern w:val="0"/>
          <w:sz w:val="24"/>
          <w:szCs w:val="24"/>
          <w:lang w:val="en-US" w:eastAsia="zh-CN" w:bidi="ar"/>
        </w:rPr>
        <w:t>在构建职业季度序列时，受统计口径及原始数据断点影响，部分职业样本存在观测值缺失。若直接沿用原始数据，极易引入趋势估计偏误并降低模型估计的稳健性。为此，本文采用时间序列插值法对缺失值进行补齐，以确保分析维度的连续性。具体而言，针对就业人数、平均周工资等核心指标，在 2020Q1 至 2025Q2 的样本区间内执行插值处理。该处理在维系数据动态演变趋势的同时，最大程度减缓了因样本截断造成的统计偏差，提升了跨期实证分析的有效性。</w:t>
      </w:r>
    </w:p>
    <w:p w14:paraId="5F3795A4">
      <w:pPr>
        <w:pStyle w:val="4"/>
        <w:keepNext w:val="0"/>
        <w:keepLines w:val="0"/>
        <w:widowControl/>
        <w:suppressLineNumbers w:val="0"/>
        <w:rPr>
          <w:b w:val="0"/>
          <w:bCs w:val="0"/>
          <w:sz w:val="24"/>
          <w:szCs w:val="24"/>
        </w:rPr>
      </w:pPr>
      <w:r>
        <w:rPr>
          <w:b w:val="0"/>
          <w:bCs w:val="0"/>
          <w:sz w:val="24"/>
          <w:szCs w:val="24"/>
        </w:rPr>
        <w:t>2.3 季节性影响消除</w:t>
      </w:r>
    </w:p>
    <w:p w14:paraId="52D72115">
      <w:pPr>
        <w:pStyle w:val="5"/>
        <w:keepNext w:val="0"/>
        <w:keepLines w:val="0"/>
        <w:widowControl/>
        <w:suppressLineNumbers w:val="0"/>
        <w:ind w:firstLine="420" w:firstLineChars="0"/>
        <w:rPr>
          <w:b w:val="0"/>
          <w:bCs w:val="0"/>
          <w:sz w:val="24"/>
          <w:szCs w:val="24"/>
        </w:rPr>
      </w:pPr>
      <w:r>
        <w:rPr>
          <w:b w:val="0"/>
          <w:bCs w:val="0"/>
          <w:sz w:val="24"/>
          <w:szCs w:val="24"/>
        </w:rPr>
        <w:t>考虑到职业维度下的季度就业及薪水数据常存在显著的季节性波动，此类周期性噪音易掩盖序列的长期演变趋势与外生冲击效应。为提升跨季度统计口径的可比性，本文在执行趋势分析前，采用经典时间序列分解框架对就业人数、平均周工资等核心指标进行了季节性调整。</w:t>
      </w:r>
      <w:r>
        <w:rPr>
          <w:b w:val="0"/>
          <w:bCs w:val="0"/>
          <w:sz w:val="24"/>
          <w:szCs w:val="24"/>
        </w:rPr>
        <w:br w:type="textWrapping"/>
      </w:r>
      <w:r>
        <w:rPr>
          <w:rFonts w:hint="eastAsia"/>
          <w:b w:val="0"/>
          <w:bCs w:val="0"/>
          <w:sz w:val="24"/>
          <w:szCs w:val="24"/>
          <w:lang w:val="en-US" w:eastAsia="zh-CN"/>
        </w:rPr>
        <w:tab/>
      </w:r>
      <w:r>
        <w:rPr>
          <w:b w:val="0"/>
          <w:bCs w:val="0"/>
          <w:sz w:val="24"/>
          <w:szCs w:val="24"/>
        </w:rPr>
        <w:t>首先，将原始观测序列分解为趋势成分、季节成分与不规则成分，并根据季节波动幅度与水平值的相关性，测算其适用加法模型或乘法模型。其次，利用移动平均滤波等技术提取序列的周期性模式，测算各季度的季节因子。最后，从原始序列中扣除估计的季节成分，获取去季节化后的调整数据。经处理后的时间序列排除了循环性季节特征的干扰，能够更精确地刻画劳动力市场指标的真实变动逻辑，从而为评估生成式人工智能对职业结构的动态影响提供稳健的数据支撑。</w:t>
      </w:r>
    </w:p>
    <w:p w14:paraId="62DA7CC6">
      <w:pPr>
        <w:rPr>
          <w:rFonts w:hint="default"/>
          <w:b w:val="0"/>
          <w:bCs w:val="0"/>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embedRegular r:id="rId1" w:fontKey="{A2B6B79F-1954-4B27-A7F8-B1C21AF70E52}"/>
  </w:font>
  <w:font w:name="兰亭宋体">
    <w:panose1 w:val="02000503000000000000"/>
    <w:charset w:val="86"/>
    <w:family w:val="auto"/>
    <w:pitch w:val="default"/>
    <w:sig w:usb0="8000002F" w:usb1="084164FA" w:usb2="00000012" w:usb3="00000000" w:csb0="00040001" w:csb1="00000000"/>
    <w:embedRegular r:id="rId2" w:fontKey="{72A117A9-EB53-4BFA-B395-6B2252929BE7}"/>
  </w:font>
  <w:font w:name="Arial">
    <w:panose1 w:val="020B0604020202020204"/>
    <w:charset w:val="00"/>
    <w:family w:val="auto"/>
    <w:pitch w:val="default"/>
    <w:sig w:usb0="E0002EFF" w:usb1="C000785B" w:usb2="00000009" w:usb3="00000000" w:csb0="400001FF" w:csb1="FFFF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D2151"/>
    <w:rsid w:val="07DB0CBB"/>
    <w:rsid w:val="08292D2C"/>
    <w:rsid w:val="0CF248A6"/>
    <w:rsid w:val="10E105A5"/>
    <w:rsid w:val="2CD422AD"/>
    <w:rsid w:val="50C62F2B"/>
    <w:rsid w:val="68B77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Segoe UI" w:hAnsi="Segoe UI" w:eastAsia="兰亭宋体" w:cs="Segoe UI"/>
      <w:b/>
      <w:bCs/>
      <w:kern w:val="0"/>
      <w:sz w:val="21"/>
      <w:szCs w:val="21"/>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kern w:val="0"/>
      <w:sz w:val="24"/>
      <w:szCs w:val="24"/>
      <w:lang w:val="en-US" w:eastAsia="zh-CN" w:bidi="ar"/>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22</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2024-08-11T04:03:00Z</dcterms:created>
  <dc:creator>Wu</dc:creator>
  <cp:lastModifiedBy>吴豪爽</cp:lastModifiedBy>
  <dcterms:modified xsi:type="dcterms:W3CDTF">2026-01-31T07:50:53Z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6F1BBE472D7E4D4DBEA982FC8BD9E0DE_12</vt:lpwstr>
  </property>
  <property fmtid="{D5CDD505-2E9C-101B-9397-08002B2CF9AE}" pid="4" name="KSOTemplateDocerSaveRecord">
    <vt:lpwstr>eyJoZGlkIjoiOGUxMmFlMjA4MWY3NTg4OTI3MDYxZDNmNjUxNTZkMzQiLCJ1c2VySWQiOiI5Mzg2MTgzNDAifQ==</vt:lpwstr>
  </property>
</Properties>
</file>