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790339">
      <w:pPr>
        <w:rPr>
          <w:b w:val="0"/>
          <w:bCs w:val="0"/>
        </w:rPr>
      </w:pPr>
    </w:p>
    <w:p w14:paraId="61956F19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迭代模型仿真</w:t>
      </w:r>
    </w:p>
    <w:p w14:paraId="09DA5F6D">
      <w:pPr>
        <w:rPr>
          <w:rFonts w:hint="eastAsia"/>
          <w:b w:val="0"/>
          <w:bCs w:val="0"/>
          <w:lang w:val="en-US" w:eastAsia="zh-CN"/>
        </w:rPr>
      </w:pPr>
    </w:p>
    <w:p w14:paraId="2E29DA3E">
      <w:p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本文模型采用微分方程形式对就业规模的动态演化过程进行刻画。模型假设就业规模在时间上的变化依赖于前一时刻的状</w:t>
      </w:r>
      <w:bookmarkStart w:id="0" w:name="_GoBack"/>
      <w:bookmarkEnd w:id="0"/>
      <w:r>
        <w:rPr>
          <w:rFonts w:hint="eastAsia"/>
          <w:b w:val="0"/>
          <w:bCs w:val="0"/>
          <w:lang w:val="en-US" w:eastAsia="zh-CN"/>
        </w:rPr>
        <w:t>态，并在给定增长率和环境约束条件下逐步演化，从而模拟人工智能发展背景下就业系统的动态响应过程。</w:t>
      </w:r>
    </w:p>
    <w:p w14:paraId="14C6A361">
      <w:pPr>
        <w:rPr>
          <w:rFonts w:hint="eastAsia"/>
          <w:b w:val="0"/>
          <w:bCs w:val="0"/>
          <w:lang w:val="en-US" w:eastAsia="zh-CN"/>
        </w:rPr>
      </w:pPr>
    </w:p>
    <w:p w14:paraId="2AB7B5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uto"/>
        <w:textAlignment w:val="auto"/>
        <w:rPr>
          <w:rFonts w:hint="eastAsia"/>
          <w:b w:val="0"/>
          <w:bCs w:val="0"/>
          <w:sz w:val="15"/>
          <w:szCs w:val="15"/>
          <w:u w:val="singl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u w:val="single"/>
          <w:lang w:val="en-US" w:eastAsia="zh-CN"/>
        </w:rPr>
        <w:t>\begin{table}[H]</w:t>
      </w:r>
    </w:p>
    <w:p w14:paraId="721D01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uto"/>
        <w:textAlignment w:val="auto"/>
        <w:rPr>
          <w:rFonts w:hint="eastAsia"/>
          <w:b w:val="0"/>
          <w:bCs w:val="0"/>
          <w:sz w:val="15"/>
          <w:szCs w:val="15"/>
          <w:u w:val="singl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u w:val="single"/>
          <w:lang w:val="en-US" w:eastAsia="zh-CN"/>
        </w:rPr>
        <w:t>\centering</w:t>
      </w:r>
    </w:p>
    <w:p w14:paraId="3FDC26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uto"/>
        <w:textAlignment w:val="auto"/>
        <w:rPr>
          <w:rFonts w:hint="eastAsia"/>
          <w:b w:val="0"/>
          <w:bCs w:val="0"/>
          <w:sz w:val="15"/>
          <w:szCs w:val="15"/>
          <w:u w:val="singl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u w:val="single"/>
          <w:lang w:val="en-US" w:eastAsia="zh-CN"/>
        </w:rPr>
        <w:t>\begin{tabular}{l}</w:t>
      </w:r>
    </w:p>
    <w:p w14:paraId="2DB993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uto"/>
        <w:textAlignment w:val="auto"/>
        <w:rPr>
          <w:rFonts w:hint="eastAsia"/>
          <w:b w:val="0"/>
          <w:bCs w:val="0"/>
          <w:sz w:val="15"/>
          <w:szCs w:val="15"/>
          <w:u w:val="singl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u w:val="single"/>
          <w:lang w:val="en-US" w:eastAsia="zh-CN"/>
        </w:rPr>
        <w:t>\toprule</w:t>
      </w:r>
    </w:p>
    <w:p w14:paraId="2F77B8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uto"/>
        <w:textAlignment w:val="auto"/>
        <w:rPr>
          <w:rFonts w:hint="eastAsia"/>
          <w:b w:val="0"/>
          <w:bCs w:val="0"/>
          <w:sz w:val="15"/>
          <w:szCs w:val="15"/>
          <w:u w:val="singl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u w:val="single"/>
          <w:lang w:val="en-US" w:eastAsia="zh-CN"/>
        </w:rPr>
        <w:t>\textbf{Algorithm 1}: Employment Dynamics Simulation with AI-adjusted Carrying Capacity \\</w:t>
      </w:r>
    </w:p>
    <w:p w14:paraId="6F74FE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uto"/>
        <w:textAlignment w:val="auto"/>
        <w:rPr>
          <w:rFonts w:hint="eastAsia"/>
          <w:b w:val="0"/>
          <w:bCs w:val="0"/>
          <w:sz w:val="15"/>
          <w:szCs w:val="15"/>
          <w:u w:val="singl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u w:val="single"/>
          <w:lang w:val="en-US" w:eastAsia="zh-CN"/>
        </w:rPr>
        <w:t>\midrule</w:t>
      </w:r>
    </w:p>
    <w:p w14:paraId="469958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uto"/>
        <w:textAlignment w:val="auto"/>
        <w:rPr>
          <w:rFonts w:hint="eastAsia"/>
          <w:b w:val="0"/>
          <w:bCs w:val="0"/>
          <w:sz w:val="15"/>
          <w:szCs w:val="15"/>
          <w:u w:val="singl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u w:val="single"/>
          <w:lang w:val="en-US" w:eastAsia="zh-CN"/>
        </w:rPr>
        <w:t xml:space="preserve">\textbf{Input}  </w:t>
      </w:r>
    </w:p>
    <w:p w14:paraId="2CB59E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uto"/>
        <w:textAlignment w:val="auto"/>
        <w:rPr>
          <w:rFonts w:hint="eastAsia"/>
          <w:b w:val="0"/>
          <w:bCs w:val="0"/>
          <w:sz w:val="15"/>
          <w:szCs w:val="15"/>
          <w:u w:val="singl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u w:val="single"/>
          <w:lang w:val="en-US" w:eastAsia="zh-CN"/>
        </w:rPr>
        <w:t>Initial employment $N_0$, time horizon $T$, baseline growth rate $r_0$, baseline carrying capacity $K_0$,  \\</w:t>
      </w:r>
    </w:p>
    <w:p w14:paraId="7B754B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uto"/>
        <w:textAlignment w:val="auto"/>
        <w:rPr>
          <w:rFonts w:hint="eastAsia"/>
          <w:b w:val="0"/>
          <w:bCs w:val="0"/>
          <w:sz w:val="15"/>
          <w:szCs w:val="15"/>
          <w:u w:val="singl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u w:val="single"/>
          <w:lang w:val="en-US" w:eastAsia="zh-CN"/>
        </w:rPr>
        <w:t>AI maturity sequence $A(t)$, AI skill capability $S(t)$, model parameters $\theta$, $A_c$, $k$ \\</w:t>
      </w:r>
    </w:p>
    <w:p w14:paraId="235815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uto"/>
        <w:textAlignment w:val="auto"/>
        <w:rPr>
          <w:rFonts w:hint="eastAsia"/>
          <w:b w:val="0"/>
          <w:bCs w:val="0"/>
          <w:sz w:val="15"/>
          <w:szCs w:val="15"/>
          <w:u w:val="singl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u w:val="single"/>
          <w:lang w:val="en-US" w:eastAsia="zh-CN"/>
        </w:rPr>
        <w:t xml:space="preserve">\textbf{Output}  </w:t>
      </w:r>
    </w:p>
    <w:p w14:paraId="7F05B3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uto"/>
        <w:textAlignment w:val="auto"/>
        <w:rPr>
          <w:rFonts w:hint="eastAsia"/>
          <w:b w:val="0"/>
          <w:bCs w:val="0"/>
          <w:sz w:val="15"/>
          <w:szCs w:val="15"/>
          <w:u w:val="singl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u w:val="single"/>
          <w:lang w:val="en-US" w:eastAsia="zh-CN"/>
        </w:rPr>
        <w:t>Predicted employment sequence $\hat{N}(t)$ \\</w:t>
      </w:r>
    </w:p>
    <w:p w14:paraId="27F667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uto"/>
        <w:textAlignment w:val="auto"/>
        <w:rPr>
          <w:rFonts w:hint="eastAsia"/>
          <w:b w:val="0"/>
          <w:bCs w:val="0"/>
          <w:sz w:val="15"/>
          <w:szCs w:val="15"/>
          <w:u w:val="singl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u w:val="single"/>
          <w:lang w:val="en-US" w:eastAsia="zh-CN"/>
        </w:rPr>
        <w:t>\textbf{Steps}  \\</w:t>
      </w:r>
    </w:p>
    <w:p w14:paraId="7DD07F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uto"/>
        <w:textAlignment w:val="auto"/>
        <w:rPr>
          <w:rFonts w:hint="eastAsia"/>
          <w:b w:val="0"/>
          <w:bCs w:val="0"/>
          <w:sz w:val="15"/>
          <w:szCs w:val="15"/>
          <w:u w:val="singl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u w:val="single"/>
          <w:lang w:val="en-US" w:eastAsia="zh-CN"/>
        </w:rPr>
        <w:t>1. Initialize employment level: $\hat{N}(t_1) \leftarrow N_0$. \\</w:t>
      </w:r>
    </w:p>
    <w:p w14:paraId="62FF64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uto"/>
        <w:textAlignment w:val="auto"/>
        <w:rPr>
          <w:rFonts w:hint="eastAsia"/>
          <w:b w:val="0"/>
          <w:bCs w:val="0"/>
          <w:sz w:val="15"/>
          <w:szCs w:val="15"/>
          <w:u w:val="singl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u w:val="single"/>
          <w:lang w:val="en-US" w:eastAsia="zh-CN"/>
        </w:rPr>
        <w:t>2. For each time step $t = t_1$ to $t_T$, compute AI adoption level: \\</w:t>
      </w:r>
    </w:p>
    <w:p w14:paraId="6D0264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uto"/>
        <w:textAlignment w:val="auto"/>
        <w:rPr>
          <w:rFonts w:hint="eastAsia"/>
          <w:b w:val="0"/>
          <w:bCs w:val="0"/>
          <w:sz w:val="15"/>
          <w:szCs w:val="15"/>
          <w:u w:val="singl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u w:val="single"/>
          <w:lang w:val="en-US" w:eastAsia="zh-CN"/>
        </w:rPr>
        <w:t>3. \hspace{1em} $\sigma(t) \leftarrow \dfrac{1}{1 + \exp\left[-k\left(A(t) - A_c\right)\right]}$. \\</w:t>
      </w:r>
    </w:p>
    <w:p w14:paraId="75DA30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uto"/>
        <w:textAlignment w:val="auto"/>
        <w:rPr>
          <w:rFonts w:hint="eastAsia"/>
          <w:b w:val="0"/>
          <w:bCs w:val="0"/>
          <w:sz w:val="15"/>
          <w:szCs w:val="15"/>
          <w:u w:val="singl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u w:val="single"/>
          <w:lang w:val="en-US" w:eastAsia="zh-CN"/>
        </w:rPr>
        <w:t>4. \hspace{1em} Compute centered AI impact factor: $S_A(t) \leftarrow \sigma(t) - 0.5$. \\</w:t>
      </w:r>
    </w:p>
    <w:p w14:paraId="406EF6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uto"/>
        <w:textAlignment w:val="auto"/>
        <w:rPr>
          <w:rFonts w:hint="eastAsia"/>
          <w:b w:val="0"/>
          <w:bCs w:val="0"/>
          <w:sz w:val="15"/>
          <w:szCs w:val="15"/>
          <w:u w:val="singl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u w:val="single"/>
          <w:lang w:val="en-US" w:eastAsia="zh-CN"/>
        </w:rPr>
        <w:t>5. \hspace{1em} Compute effective carrying capacity: \\</w:t>
      </w:r>
    </w:p>
    <w:p w14:paraId="492C2C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uto"/>
        <w:textAlignment w:val="auto"/>
        <w:rPr>
          <w:rFonts w:hint="eastAsia"/>
          <w:b w:val="0"/>
          <w:bCs w:val="0"/>
          <w:sz w:val="15"/>
          <w:szCs w:val="15"/>
          <w:u w:val="singl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u w:val="single"/>
          <w:lang w:val="en-US" w:eastAsia="zh-CN"/>
        </w:rPr>
        <w:t>6. \hspace{2em} $K_{\mathrm{eff}}(t) \leftarrow K_0 \cdot \left(1 + \theta \cdot S_A(t) \cdot S(t)\right)$. \\</w:t>
      </w:r>
    </w:p>
    <w:p w14:paraId="0B053E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uto"/>
        <w:textAlignment w:val="auto"/>
        <w:rPr>
          <w:rFonts w:hint="eastAsia"/>
          <w:b w:val="0"/>
          <w:bCs w:val="0"/>
          <w:sz w:val="15"/>
          <w:szCs w:val="15"/>
          <w:u w:val="singl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u w:val="single"/>
          <w:lang w:val="en-US" w:eastAsia="zh-CN"/>
        </w:rPr>
        <w:t>7. Construct the logistic growth differential equation: \\</w:t>
      </w:r>
    </w:p>
    <w:p w14:paraId="0AEF4D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uto"/>
        <w:textAlignment w:val="auto"/>
        <w:rPr>
          <w:rFonts w:hint="eastAsia"/>
          <w:b w:val="0"/>
          <w:bCs w:val="0"/>
          <w:sz w:val="15"/>
          <w:szCs w:val="15"/>
          <w:u w:val="singl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u w:val="single"/>
          <w:lang w:val="en-US" w:eastAsia="zh-CN"/>
        </w:rPr>
        <w:t>8. \hspace{1em} $\dfrac{dN(t)}{dt} = r_0 N(t)\left(1 - \dfrac{N(t)}{K_{\mathrm{eff}}(t)}\right)$. \\</w:t>
      </w:r>
    </w:p>
    <w:p w14:paraId="3AC942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uto"/>
        <w:textAlignment w:val="auto"/>
        <w:rPr>
          <w:rFonts w:hint="eastAsia"/>
          <w:b w:val="0"/>
          <w:bCs w:val="0"/>
          <w:sz w:val="15"/>
          <w:szCs w:val="15"/>
          <w:u w:val="singl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u w:val="single"/>
          <w:lang w:val="en-US" w:eastAsia="zh-CN"/>
        </w:rPr>
        <w:t>9. Numerically integrate the differential equation over $[t_1, t_T]$ to obtain $\hat{N}(t)$. \\</w:t>
      </w:r>
    </w:p>
    <w:p w14:paraId="619867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uto"/>
        <w:textAlignment w:val="auto"/>
        <w:rPr>
          <w:rFonts w:hint="eastAsia"/>
          <w:b w:val="0"/>
          <w:bCs w:val="0"/>
          <w:sz w:val="15"/>
          <w:szCs w:val="15"/>
          <w:u w:val="singl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u w:val="single"/>
          <w:lang w:val="en-US" w:eastAsia="zh-CN"/>
        </w:rPr>
        <w:t>10. Enforce numerical stability constraints on $\hat{N}(t)$: \\</w:t>
      </w:r>
    </w:p>
    <w:p w14:paraId="223573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uto"/>
        <w:textAlignment w:val="auto"/>
        <w:rPr>
          <w:rFonts w:hint="eastAsia"/>
          <w:b w:val="0"/>
          <w:bCs w:val="0"/>
          <w:sz w:val="15"/>
          <w:szCs w:val="15"/>
          <w:u w:val="singl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u w:val="single"/>
          <w:lang w:val="en-US" w:eastAsia="zh-CN"/>
        </w:rPr>
        <w:t>11. \hspace{1em} If $\hat{N}(t) &lt; 0$, set $\hat{N}(t) \leftarrow 0$. \\</w:t>
      </w:r>
    </w:p>
    <w:p w14:paraId="7C0BA2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uto"/>
        <w:textAlignment w:val="auto"/>
        <w:rPr>
          <w:rFonts w:hint="eastAsia"/>
          <w:b w:val="0"/>
          <w:bCs w:val="0"/>
          <w:sz w:val="15"/>
          <w:szCs w:val="15"/>
          <w:u w:val="singl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u w:val="single"/>
          <w:lang w:val="en-US" w:eastAsia="zh-CN"/>
        </w:rPr>
        <w:t>12. \hspace{1em} If $\hat{N}(t) &gt; 2 \cdot \max(N_{\text{observed}})$, cap $\hat{N}(t)$. \\</w:t>
      </w:r>
    </w:p>
    <w:p w14:paraId="04FC45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uto"/>
        <w:textAlignment w:val="auto"/>
        <w:rPr>
          <w:rFonts w:hint="eastAsia"/>
          <w:b w:val="0"/>
          <w:bCs w:val="0"/>
          <w:sz w:val="15"/>
          <w:szCs w:val="15"/>
          <w:u w:val="singl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u w:val="single"/>
          <w:lang w:val="en-US" w:eastAsia="zh-CN"/>
        </w:rPr>
        <w:t>13. Return predicted employment sequence $\hat{N}(t)$. \\</w:t>
      </w:r>
    </w:p>
    <w:p w14:paraId="282A97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uto"/>
        <w:textAlignment w:val="auto"/>
        <w:rPr>
          <w:rFonts w:hint="eastAsia"/>
          <w:b w:val="0"/>
          <w:bCs w:val="0"/>
          <w:sz w:val="15"/>
          <w:szCs w:val="15"/>
          <w:u w:val="singl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u w:val="single"/>
          <w:lang w:val="en-US" w:eastAsia="zh-CN"/>
        </w:rPr>
        <w:t>\bottomrule</w:t>
      </w:r>
    </w:p>
    <w:p w14:paraId="0DCB95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uto"/>
        <w:textAlignment w:val="auto"/>
        <w:rPr>
          <w:rFonts w:hint="eastAsia"/>
          <w:b w:val="0"/>
          <w:bCs w:val="0"/>
          <w:sz w:val="15"/>
          <w:szCs w:val="15"/>
          <w:u w:val="singl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u w:val="single"/>
          <w:lang w:val="en-US" w:eastAsia="zh-CN"/>
        </w:rPr>
        <w:t>\end{tabular}</w:t>
      </w:r>
    </w:p>
    <w:p w14:paraId="7BFCD5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uto"/>
        <w:textAlignment w:val="auto"/>
        <w:rPr>
          <w:rFonts w:hint="eastAsia"/>
          <w:b w:val="0"/>
          <w:bCs w:val="0"/>
          <w:sz w:val="15"/>
          <w:szCs w:val="15"/>
          <w:u w:val="single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u w:val="single"/>
          <w:lang w:val="en-US" w:eastAsia="zh-CN"/>
        </w:rPr>
        <w:t>\end{table}</w:t>
      </w:r>
    </w:p>
    <w:p w14:paraId="7F5ED77E">
      <w:pPr>
        <w:rPr>
          <w:rFonts w:hint="eastAsia"/>
          <w:b w:val="0"/>
          <w:bCs w:val="0"/>
          <w:lang w:val="en-US" w:eastAsia="zh-CN"/>
        </w:rPr>
      </w:pPr>
    </w:p>
    <w:p w14:paraId="6BE5B0CB">
      <w:pPr>
        <w:rPr>
          <w:rFonts w:hint="eastAsia"/>
          <w:b w:val="0"/>
          <w:bCs w:val="0"/>
          <w:lang w:val="en-US" w:eastAsia="zh-CN"/>
        </w:rPr>
      </w:pPr>
    </w:p>
    <w:p w14:paraId="715FB53F">
      <w:pPr>
        <w:rPr>
          <w:rFonts w:hint="eastAsia"/>
          <w:b w:val="0"/>
          <w:bCs w:val="0"/>
          <w:lang w:val="en-US" w:eastAsia="zh-CN"/>
        </w:rPr>
      </w:pPr>
    </w:p>
    <w:p w14:paraId="33161C16">
      <w:pPr>
        <w:rPr>
          <w:rFonts w:hint="eastAsia"/>
          <w:b w:val="0"/>
          <w:bCs w:val="0"/>
          <w:lang w:val="en-US" w:eastAsia="zh-CN"/>
        </w:rPr>
      </w:pPr>
    </w:p>
    <w:p w14:paraId="0AFD35A0">
      <w:pPr>
        <w:rPr>
          <w:rFonts w:hint="eastAsia"/>
          <w:b w:val="0"/>
          <w:bCs w:val="0"/>
          <w:lang w:val="en-US" w:eastAsia="zh-CN"/>
        </w:rPr>
      </w:pPr>
    </w:p>
    <w:p w14:paraId="0CFDA592">
      <w:pPr>
        <w:rPr>
          <w:rFonts w:hint="eastAsia"/>
          <w:b w:val="0"/>
          <w:bCs w:val="0"/>
          <w:lang w:val="en-US" w:eastAsia="zh-CN"/>
        </w:rPr>
      </w:pPr>
    </w:p>
    <w:p w14:paraId="0B2F9297">
      <w:pPr>
        <w:rPr>
          <w:rFonts w:hint="eastAsia"/>
          <w:b w:val="0"/>
          <w:bCs w:val="0"/>
          <w:lang w:val="en-US" w:eastAsia="zh-CN"/>
        </w:rPr>
      </w:pPr>
    </w:p>
    <w:p w14:paraId="1E758C4E">
      <w:pPr>
        <w:rPr>
          <w:rFonts w:hint="eastAsia"/>
          <w:b w:val="0"/>
          <w:bCs w:val="0"/>
          <w:lang w:val="en-US" w:eastAsia="zh-CN"/>
        </w:rPr>
      </w:pPr>
    </w:p>
    <w:p w14:paraId="29F05AD9">
      <w:pPr>
        <w:rPr>
          <w:rFonts w:hint="eastAsia"/>
          <w:b w:val="0"/>
          <w:bCs w:val="0"/>
          <w:lang w:val="en-US" w:eastAsia="zh-CN"/>
        </w:rPr>
      </w:pPr>
    </w:p>
    <w:p w14:paraId="42FD0F2A">
      <w:pPr>
        <w:rPr>
          <w:rFonts w:hint="eastAsia"/>
          <w:b w:val="0"/>
          <w:bCs w:val="0"/>
          <w:lang w:val="en-US" w:eastAsia="zh-CN"/>
        </w:rPr>
      </w:pPr>
    </w:p>
    <w:p w14:paraId="2C28610A">
      <w:p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在模型计算过程中，引入人工智能成熟度和技能能力作为外生变量，通过构造时间变化的有效承载力，将人工智能对就业需求的影响内生化。该承载力采用基于 Sigmoid 函数的非线性结构，用以描述人工智能技术由初期渗透到后期饱和的渐进式影响特征，从而避免对就业冲击的线性化假设。在每一个时间步长内，模型首先根据人工智能成熟度计算其对承载力的调制效果，随后在该承载力约束下，通过 Logistic 增长方程更新就业规模。该过程在整个时间区间内重复执行，以获得完整的就业规模演化轨迹。</w:t>
      </w:r>
    </w:p>
    <w:p w14:paraId="1F198A6B">
      <w:pPr>
        <w:ind w:firstLine="420" w:firstLineChars="0"/>
        <w:rPr>
          <w:rFonts w:hint="default"/>
          <w:b w:val="0"/>
          <w:bCs w:val="0"/>
          <w:lang w:val="en-US" w:eastAsia="zh-CN"/>
        </w:rPr>
      </w:pPr>
    </w:p>
    <w:p w14:paraId="2EBC8483">
      <w:p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t>优化结果(选三个展示即可)</w:t>
      </w:r>
    </w:p>
    <w:tbl>
      <w:tblPr>
        <w:tblStyle w:val="3"/>
        <w:tblW w:w="6480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84"/>
        <w:gridCol w:w="989"/>
        <w:gridCol w:w="989"/>
        <w:gridCol w:w="989"/>
        <w:gridCol w:w="989"/>
        <w:gridCol w:w="989"/>
      </w:tblGrid>
      <w:tr w14:paraId="02C4CA4A">
        <w:trPr>
          <w:trHeight w:val="270" w:hRule="atLeast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BFEBA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行业标题 (title)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56F9BC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类型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C358A5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θ (AI敏感度系数)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840724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Ac (临界成熟度)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31850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k (渗透陡度)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53C4C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训练误差 (SMAPE)</w:t>
            </w:r>
          </w:p>
        </w:tc>
      </w:tr>
      <w:tr w14:paraId="761FAA63">
        <w:trPr>
          <w:trHeight w:val="270" w:hRule="atLeast"/>
        </w:trPr>
        <w:tc>
          <w:tcPr>
            <w:tcW w:w="38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4EC7E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Motion Picture and Video Industries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B2370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Art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72FB2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3"/>
                <w:szCs w:val="13"/>
                <w:u w:val="none"/>
                <w:lang w:val="en-US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0.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724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F89F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3"/>
                <w:szCs w:val="13"/>
                <w:u w:val="none"/>
                <w:lang w:val="en-US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0.3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82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8429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3"/>
                <w:szCs w:val="13"/>
                <w:u w:val="none"/>
                <w:lang w:val="en-US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9.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412</w:t>
            </w:r>
          </w:p>
        </w:tc>
        <w:tc>
          <w:tcPr>
            <w:tcW w:w="10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91B8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3"/>
                <w:szCs w:val="13"/>
                <w:u w:val="none"/>
                <w:lang w:val="en-US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0.11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8</w:t>
            </w:r>
          </w:p>
        </w:tc>
      </w:tr>
      <w:tr w14:paraId="2911E7CC">
        <w:trPr>
          <w:trHeight w:val="270" w:hRule="atLeast"/>
        </w:trPr>
        <w:tc>
          <w:tcPr>
            <w:tcW w:w="38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F2E2C8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Motion picture and sound recording industries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0ED0F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Art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F501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3"/>
                <w:szCs w:val="13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0</w:t>
            </w:r>
            <w:r>
              <w:rPr>
                <w:rFonts w:ascii="宋体" w:hAnsi="宋体" w:eastAsia="宋体" w:cs="宋体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.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783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DFB2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3"/>
                <w:szCs w:val="13"/>
                <w:u w:val="none"/>
                <w:lang w:val="en-US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0.36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8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F415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3"/>
                <w:szCs w:val="13"/>
                <w:u w:val="none"/>
                <w:lang w:val="en-US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9.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215</w:t>
            </w:r>
          </w:p>
        </w:tc>
        <w:tc>
          <w:tcPr>
            <w:tcW w:w="10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6B6A8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0.101</w:t>
            </w:r>
          </w:p>
        </w:tc>
      </w:tr>
      <w:tr w14:paraId="77F2FE59">
        <w:trPr>
          <w:trHeight w:val="270" w:hRule="atLeast"/>
        </w:trPr>
        <w:tc>
          <w:tcPr>
            <w:tcW w:w="38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15A64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Performing Arts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A5D5B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Art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ED75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3"/>
                <w:szCs w:val="13"/>
                <w:u w:val="none"/>
                <w:lang w:val="en-US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0.9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12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A9AE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3"/>
                <w:szCs w:val="13"/>
                <w:u w:val="none"/>
                <w:lang w:val="en-US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0.1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42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4AE8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3"/>
                <w:szCs w:val="13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10</w:t>
            </w:r>
            <w:r>
              <w:rPr>
                <w:rFonts w:ascii="宋体" w:hAnsi="宋体" w:eastAsia="宋体" w:cs="宋体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.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084</w:t>
            </w:r>
          </w:p>
        </w:tc>
        <w:tc>
          <w:tcPr>
            <w:tcW w:w="10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C0EF03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0.149</w:t>
            </w:r>
          </w:p>
        </w:tc>
      </w:tr>
      <w:tr w14:paraId="7AF84E99">
        <w:trPr>
          <w:trHeight w:val="270" w:hRule="atLeast"/>
        </w:trPr>
        <w:tc>
          <w:tcPr>
            <w:tcW w:w="38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06B6C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Specialized Design Services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1EE68A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Art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11F2A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3"/>
                <w:szCs w:val="13"/>
                <w:u w:val="none"/>
                <w:lang w:val="en-US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0.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653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E814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3"/>
                <w:szCs w:val="13"/>
                <w:u w:val="none"/>
                <w:lang w:val="en-US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0.1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19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EB51B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3"/>
                <w:szCs w:val="13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10</w:t>
            </w:r>
            <w:r>
              <w:rPr>
                <w:rFonts w:ascii="宋体" w:hAnsi="宋体" w:eastAsia="宋体" w:cs="宋体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.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517</w:t>
            </w:r>
          </w:p>
        </w:tc>
        <w:tc>
          <w:tcPr>
            <w:tcW w:w="10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A91E56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0.024</w:t>
            </w:r>
          </w:p>
        </w:tc>
      </w:tr>
      <w:tr w14:paraId="277F43C4">
        <w:trPr>
          <w:trHeight w:val="270" w:hRule="atLeast"/>
        </w:trPr>
        <w:tc>
          <w:tcPr>
            <w:tcW w:w="38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5D0D35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Museums, historical sites, and similar institutions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215701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Art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2649B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3"/>
                <w:szCs w:val="13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0</w:t>
            </w:r>
            <w:r>
              <w:rPr>
                <w:rFonts w:ascii="宋体" w:hAnsi="宋体" w:eastAsia="宋体" w:cs="宋体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.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818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9484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3"/>
                <w:szCs w:val="13"/>
                <w:u w:val="none"/>
                <w:lang w:val="en-US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0.1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31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5A7A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3"/>
                <w:szCs w:val="13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10</w:t>
            </w:r>
            <w:r>
              <w:rPr>
                <w:rFonts w:ascii="宋体" w:hAnsi="宋体" w:eastAsia="宋体" w:cs="宋体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.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203</w:t>
            </w:r>
          </w:p>
        </w:tc>
        <w:tc>
          <w:tcPr>
            <w:tcW w:w="10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81FFB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0.042</w:t>
            </w:r>
          </w:p>
        </w:tc>
      </w:tr>
      <w:tr w14:paraId="44F53129">
        <w:trPr>
          <w:trHeight w:val="270" w:hRule="atLeast"/>
        </w:trPr>
        <w:tc>
          <w:tcPr>
            <w:tcW w:w="38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1E2E04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Food services and drinking places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2DA5E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Trade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2941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3"/>
                <w:szCs w:val="13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0</w:t>
            </w:r>
            <w:r>
              <w:rPr>
                <w:rFonts w:ascii="宋体" w:hAnsi="宋体" w:eastAsia="宋体" w:cs="宋体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.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879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23475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3"/>
                <w:szCs w:val="13"/>
                <w:u w:val="none"/>
                <w:lang w:val="en-US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0.10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8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05D5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3"/>
                <w:szCs w:val="13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9</w:t>
            </w:r>
            <w:r>
              <w:rPr>
                <w:rFonts w:ascii="宋体" w:hAnsi="宋体" w:eastAsia="宋体" w:cs="宋体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.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614</w:t>
            </w:r>
          </w:p>
        </w:tc>
        <w:tc>
          <w:tcPr>
            <w:tcW w:w="10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A89C9C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0.026</w:t>
            </w:r>
          </w:p>
        </w:tc>
      </w:tr>
      <w:tr w14:paraId="1F1662D1">
        <w:trPr>
          <w:trHeight w:val="270" w:hRule="atLeast"/>
        </w:trPr>
        <w:tc>
          <w:tcPr>
            <w:tcW w:w="38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BDBA39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Repair and Maintenance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253F26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Trade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EFA1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3"/>
                <w:szCs w:val="13"/>
                <w:u w:val="none"/>
                <w:lang w:val="en-US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0.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812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6F51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3"/>
                <w:szCs w:val="13"/>
                <w:u w:val="none"/>
                <w:lang w:val="en-US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0.1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21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9A97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3"/>
                <w:szCs w:val="13"/>
                <w:u w:val="none"/>
                <w:lang w:val="en-US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9.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692</w:t>
            </w:r>
          </w:p>
        </w:tc>
        <w:tc>
          <w:tcPr>
            <w:tcW w:w="10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8B37B0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0.040</w:t>
            </w:r>
          </w:p>
        </w:tc>
      </w:tr>
      <w:tr w14:paraId="7A223C7E">
        <w:trPr>
          <w:trHeight w:val="270" w:hRule="atLeast"/>
        </w:trPr>
        <w:tc>
          <w:tcPr>
            <w:tcW w:w="38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23F24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Construction of buildings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C894D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Trade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A853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3"/>
                <w:szCs w:val="13"/>
                <w:u w:val="none"/>
                <w:lang w:val="en-US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0.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747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C2A8A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3"/>
                <w:szCs w:val="13"/>
                <w:u w:val="none"/>
                <w:lang w:val="en-US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0.1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28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2B80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3"/>
                <w:szCs w:val="13"/>
                <w:u w:val="none"/>
                <w:lang w:val="en-US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9.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503</w:t>
            </w:r>
          </w:p>
        </w:tc>
        <w:tc>
          <w:tcPr>
            <w:tcW w:w="10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3F87A5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0.057</w:t>
            </w:r>
          </w:p>
        </w:tc>
      </w:tr>
      <w:tr w14:paraId="34926086">
        <w:trPr>
          <w:trHeight w:val="270" w:hRule="atLeast"/>
        </w:trPr>
        <w:tc>
          <w:tcPr>
            <w:tcW w:w="38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77092F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Specialty Trade Contractors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6B4F4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Trade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4B7DF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3"/>
                <w:szCs w:val="13"/>
                <w:u w:val="none"/>
                <w:lang w:val="en-US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0.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841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6C919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3"/>
                <w:szCs w:val="13"/>
                <w:u w:val="none"/>
                <w:lang w:val="en-US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0.1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12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D23E2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3"/>
                <w:szCs w:val="13"/>
                <w:u w:val="none"/>
                <w:lang w:val="en-US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9.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796</w:t>
            </w:r>
          </w:p>
        </w:tc>
        <w:tc>
          <w:tcPr>
            <w:tcW w:w="10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56C07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0.048</w:t>
            </w:r>
          </w:p>
        </w:tc>
      </w:tr>
      <w:tr w14:paraId="043DD0D8">
        <w:trPr>
          <w:trHeight w:val="270" w:hRule="atLeast"/>
        </w:trPr>
        <w:tc>
          <w:tcPr>
            <w:tcW w:w="38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80FCB0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Computing infrastructure providers...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AF406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STEM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4DC3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3"/>
                <w:szCs w:val="13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0</w:t>
            </w:r>
            <w:r>
              <w:rPr>
                <w:rFonts w:ascii="宋体" w:hAnsi="宋体" w:eastAsia="宋体" w:cs="宋体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.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952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A227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3"/>
                <w:szCs w:val="13"/>
                <w:u w:val="none"/>
                <w:lang w:val="en-US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0.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092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AA47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3"/>
                <w:szCs w:val="13"/>
                <w:u w:val="none"/>
                <w:lang w:val="en-US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9.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318</w:t>
            </w:r>
          </w:p>
        </w:tc>
        <w:tc>
          <w:tcPr>
            <w:tcW w:w="10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60C76E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0.026</w:t>
            </w:r>
          </w:p>
        </w:tc>
      </w:tr>
      <w:tr w14:paraId="07C292B5">
        <w:trPr>
          <w:trHeight w:val="270" w:hRule="atLeast"/>
        </w:trPr>
        <w:tc>
          <w:tcPr>
            <w:tcW w:w="38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EB2F9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Computer Systems Design and Related Services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5874C4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STEM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13EB1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3"/>
                <w:szCs w:val="13"/>
                <w:u w:val="none"/>
                <w:lang w:val="en-US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0.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681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10FE5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3"/>
                <w:szCs w:val="13"/>
                <w:u w:val="none"/>
                <w:lang w:val="en-US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0.10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2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B908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3"/>
                <w:szCs w:val="13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10</w:t>
            </w:r>
            <w:r>
              <w:rPr>
                <w:rFonts w:ascii="宋体" w:hAnsi="宋体" w:eastAsia="宋体" w:cs="宋体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.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012</w:t>
            </w:r>
          </w:p>
        </w:tc>
        <w:tc>
          <w:tcPr>
            <w:tcW w:w="10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BE76B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0.057</w:t>
            </w:r>
          </w:p>
        </w:tc>
      </w:tr>
      <w:tr w14:paraId="74952BAA">
        <w:trPr>
          <w:trHeight w:val="270" w:hRule="atLeast"/>
        </w:trPr>
        <w:tc>
          <w:tcPr>
            <w:tcW w:w="38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13F31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Computer and Electronic Product Manufacturing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6B75E9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STEM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69210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3"/>
                <w:szCs w:val="13"/>
                <w:u w:val="none"/>
                <w:lang w:val="en-US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0.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418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FB9B4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3"/>
                <w:szCs w:val="13"/>
                <w:u w:val="none"/>
                <w:lang w:val="en-US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0.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079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8590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3"/>
                <w:szCs w:val="13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10</w:t>
            </w:r>
            <w:r>
              <w:rPr>
                <w:rFonts w:ascii="宋体" w:hAnsi="宋体" w:eastAsia="宋体" w:cs="宋体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.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824</w:t>
            </w:r>
          </w:p>
        </w:tc>
        <w:tc>
          <w:tcPr>
            <w:tcW w:w="10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AA616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0.072</w:t>
            </w:r>
          </w:p>
        </w:tc>
      </w:tr>
      <w:tr w14:paraId="4915C696">
        <w:trPr>
          <w:trHeight w:val="270" w:hRule="atLeast"/>
        </w:trPr>
        <w:tc>
          <w:tcPr>
            <w:tcW w:w="38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7C93DA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Scientific Research and Development Services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64823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STEM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4158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3"/>
                <w:szCs w:val="13"/>
                <w:u w:val="none"/>
                <w:lang w:val="en-US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0.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892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66432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0.10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9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F91EF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3"/>
                <w:szCs w:val="13"/>
                <w:u w:val="none"/>
                <w:lang w:val="en-US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9.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905</w:t>
            </w:r>
          </w:p>
        </w:tc>
        <w:tc>
          <w:tcPr>
            <w:tcW w:w="10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0750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3"/>
                <w:szCs w:val="13"/>
                <w:u w:val="none"/>
                <w:lang w:val="en-US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0.0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61</w:t>
            </w:r>
          </w:p>
        </w:tc>
      </w:tr>
    </w:tbl>
    <w:p w14:paraId="0830CBD9">
      <w:pPr>
        <w:rPr>
          <w:rFonts w:hint="default"/>
          <w:b w:val="0"/>
          <w:bCs w:val="0"/>
          <w:lang w:val="en-US" w:eastAsia="zh-CN"/>
        </w:rPr>
      </w:pPr>
    </w:p>
    <w:p w14:paraId="63ECD586">
      <w:p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优化结果显示，模型参数揭示了生成式AI对不同产业结构的差异化传导逻辑。总体而言，AI驱动了全球生产力约2%—3%的提升，但其影响路径在三大领域表现迥异：STEM受算力基建拉动表现为高溢价增长，Trade通过算法优化提升运营韧性，Art则在技术成熟滞后中经历存量博弈。</w:t>
      </w:r>
    </w:p>
    <w:p w14:paraId="0FD80748">
      <w:p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在计算基础设施行业，$\theta=0.952$ 揭示了该领域与AI技术浪潮的深度耦合。其 $Ac=0.092$ 的低临界值意味着Transformer等早期技术即足以驱动产业变革，支撑了2020—2025年间23%的就业扩张；而 $k=9.318$ 的高渗透斜率则反映了行业在算力竞争下的快速扩张属性。相比之下，餐饮服务虽同具高 $\theta$（0.879）与低 $Ac$（0.108），但其核心在于AI对运营预测的互补作用。这类Trade职业通过快速扩散（$k=9.614$）的自动化工具对冲了约13%的低端岗位流失，实现了疫后就业规模的整体回升。电影与视频工业（Motion Picture）的 $Ac=0.382$ 在各行业中处于高位，这解释了多模态模型（如Sora）技术成熟滞后引发的行业阵痛。这种时间上的迟滞性导致该行业在2022—2023年间经历了显著的就业负增长（-15%）与监管博弈。然而，随着 $k=9.412$ 对应的生产模式骤变，行业正凭借 $\theta=0.724$ 的增强效应完成向后期制作等高质量岗位的重心转移。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br w:type="textWrapping"/>
      </w:r>
    </w:p>
    <w:p w14:paraId="3ABF6741">
      <w:pPr>
        <w:ind w:firstLine="420" w:firstLineChars="0"/>
        <w:jc w:val="center"/>
        <w:rPr>
          <w:rFonts w:hint="eastAsia" w:eastAsia="宋体"/>
          <w:b w:val="0"/>
          <w:bCs w:val="0"/>
          <w:lang w:val="en-US" w:eastAsia="zh-CN"/>
        </w:rPr>
      </w:pPr>
    </w:p>
    <w:p w14:paraId="157C2B8C">
      <w:pPr>
        <w:jc w:val="center"/>
        <w:rPr>
          <w:rFonts w:hint="eastAsia" w:eastAsia="宋体"/>
          <w:b w:val="0"/>
          <w:bCs w:val="0"/>
          <w:lang w:val="en-US" w:eastAsia="zh-CN"/>
        </w:rPr>
      </w:pPr>
      <w:r>
        <w:rPr>
          <w:rFonts w:hint="eastAsia" w:eastAsia="宋体"/>
          <w:b w:val="0"/>
          <w:bCs w:val="0"/>
          <w:lang w:val="en-US" w:eastAsia="zh-CN"/>
        </w:rPr>
        <w:drawing>
          <wp:inline distT="0" distB="0" distL="114300" distR="114300">
            <wp:extent cx="5261610" cy="4239260"/>
            <wp:effectExtent l="0" t="0" r="15240" b="8890"/>
            <wp:docPr id="6" name="图片 6" descr="Fit_Analysis_Grouped_2x2_with_Param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Fit_Analysis_Grouped_2x2_with_ParamTabl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423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B9A2C">
      <w:pPr>
        <w:ind w:firstLine="420" w:firstLineChars="0"/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随着全球疫情冲击逐步退潮，各行业就业动态于2022年后步入平台期，其波动特征趋于稳健，为定量观察生成式大模型（GenAI）的异质性冲击提供了理想的基准观测窗口。</w:t>
      </w:r>
    </w:p>
    <w:p w14:paraId="23B593FC">
      <w:pPr>
        <w:ind w:firstLine="420" w:firstLineChars="0"/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图(a) 刻画了STEM领域的技术增强效应。随GitHub Copilot等编程工具深度集成及大模型推理能力的跨越式提升，系统设计与科研岗位的就业变动指数呈现显著的正向平移，并多次突破历史波峰（图中红色三角）。拟合结果揭示，GenAI对STEM职业并非简单的替代，而是表现为显著的产出效率驱动型增长，其上升趋势在三大门类中最为稳健且持续。</w:t>
      </w:r>
    </w:p>
    <w:p w14:paraId="1C4914BE">
      <w:pPr>
        <w:ind w:firstLine="420" w:firstLineChars="0"/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图(b) 揭示了Art领域在AIGC冲击下的结构性震荡。随着扩散模型（Stable Diffusion等）与多模态生成技术（Sora等）的爆发，该领域经历了剧烈的职能重排。观测值在关键节点后发生显著俯冲，部分细分行业（如影视制作）迅速触及局部谷值（图中蓝色三角），且波动频率与振幅显著放大。观测值与拟合路径的偏离（Residuals）增大，印证了劳动力市场在行业重塑期（如罢工事件、版权博弈）内的高度不确定性。</w:t>
      </w:r>
    </w:p>
    <w:p w14:paraId="4CB0A315">
      <w:pPr>
        <w:ind w:firstLine="420" w:firstLineChars="0"/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图(c) 显示Trade领域表现出极强的抗冲击韧性与反应滞后性。即便具身智能（如RT-2）已取得初步进展，但受限于实体技能的物理壁垒与硬件部署周期，该领域的就业曲线保持平缓，未出现明显的方向性偏移。其波动区间与疫情后期基本持平，反映出蓝领技术岗位受AI影响的长尾效应及其对物理环境的深度依赖。</w:t>
      </w:r>
    </w:p>
    <w:p w14:paraId="1C545C93">
      <w:pPr>
        <w:ind w:firstLine="420" w:firstLineChars="0"/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图(d) 展示了模型参数的精细化校准结果。为确保模拟过程的经济学逻辑严密性，模型对变化路径施加了非负性约束及边界限制。通过差分进化算法（Differential Evolution），对AI敏感度系数 $\theta_i$、临界成熟度 $A_{c,i}$ 及 渗透斜率 $k_i$ 等关键参数进行了内生性校准。模型在保持参数简洁性的同时，实现了高拟合优度，为后续的敏感性分析及政策演化仿真提供了高置信度的底层框架。</w:t>
      </w:r>
    </w:p>
    <w:p w14:paraId="7F1AB649">
      <w:pPr>
        <w:ind w:firstLine="420" w:firstLineChars="0"/>
        <w:jc w:val="left"/>
        <w:rPr>
          <w:rFonts w:hint="eastAsia"/>
          <w:b w:val="0"/>
          <w:bCs w:val="0"/>
          <w:lang w:val="en-US" w:eastAsia="zh-CN"/>
        </w:rPr>
      </w:pPr>
    </w:p>
    <w:p w14:paraId="1B6416C7">
      <w:pPr>
        <w:jc w:val="center"/>
        <w:rPr>
          <w:rFonts w:hint="eastAsia"/>
          <w:b w:val="0"/>
          <w:bCs w:val="0"/>
          <w:lang w:val="en-US" w:eastAsia="zh-CN"/>
        </w:rPr>
      </w:pPr>
    </w:p>
    <w:p w14:paraId="5B2EF10F">
      <w:pPr>
        <w:jc w:val="center"/>
        <w:rPr>
          <w:rFonts w:hint="eastAsia"/>
          <w:b w:val="0"/>
          <w:bCs w:val="0"/>
          <w:lang w:val="en-US" w:eastAsia="zh-CN"/>
        </w:rPr>
      </w:pPr>
    </w:p>
    <w:p w14:paraId="101CEBF7">
      <w:pPr>
        <w:ind w:firstLine="42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drawing>
          <wp:inline distT="0" distB="0" distL="114300" distR="114300">
            <wp:extent cx="5984875" cy="2330450"/>
            <wp:effectExtent l="0" t="0" r="15875" b="12700"/>
            <wp:docPr id="2" name="图片 2" descr="occupational_competi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occupational_competition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84875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default"/>
          <w:b w:val="0"/>
          <w:bCs w:val="0"/>
          <w:lang w:val="en-US" w:eastAsia="zh-CN"/>
        </w:rPr>
        <w:t>职业竞争格局在生成式AI介入后呈现出明显的行业极化。左侧相似度热图通过量化的相关系数（STEM内部及Art内部常常处于0.7-0.9区间）勾勒出显著的技能聚类。这种高密度的“块状重叠”表明，AI带来的冲击主要体现为行业内部的结构性重组，而非跨领域的职业挤占。其核心逻辑在于，生成式AI对模式识别与逻辑生成的处理能力，与STEM及Art领域的结构化任务高度匹配，从而诱发了更强的内部替代效应。相比之下，Trade类职业与其余行业的交叉区域基本呈低相关色调，其物理操作与现场决策的非数字化特性，使其在数字生成范式中具备天然的免疫力。</w:t>
      </w:r>
    </w:p>
    <w:p w14:paraId="59F68231">
      <w:pPr>
        <w:ind w:firstLine="42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右侧散点图通过2020–2022（Pre）与2023–2025（Post）两个时段的位移，刻画了技术影响从“效率增量”向“存量替代”的转向。Prestage 点位密集分布于第一象限，反映出AI早期作为效能工具带来的普惠式增长。进入Post阶段后，点云中心显著向左下方收缩。Art类职业出现了明显的“向左逃逸”现象，部分样本点就业降幅超过15%，且薪资涨幅逼近零轴，显现出较强的替代压力。STEM类则呈现“向上拉升”姿态，在就业维持平稳的同时获取了生产率溢价，这与AI工程师等高价值岗位的爆发直接相关。Trade类点位则在坐标系中表现出极高的统计稳定性。这种分布变化表明，AI时代的经济驱动力已由单纯的规模扩张转向生产率主导的质变：技术在自动化低价值环节的同时，将资源强力推向高价值创新，最终导致就业格局向“高质量、低扩张、AI增强型”结构倾斜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兰亭宋体">
    <w:panose1 w:val="02000503000000000000"/>
    <w:charset w:val="86"/>
    <w:family w:val="auto"/>
    <w:pitch w:val="default"/>
    <w:sig w:usb0="8000002F" w:usb1="084164FA" w:usb2="00000012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DB0CBB"/>
    <w:rsid w:val="0B3F3F85"/>
    <w:rsid w:val="0D5F2CC7"/>
    <w:rsid w:val="2D8404BB"/>
    <w:rsid w:val="3188674C"/>
    <w:rsid w:val="41906F0E"/>
    <w:rsid w:val="46667859"/>
    <w:rsid w:val="5ABD28FA"/>
    <w:rsid w:val="5B087C44"/>
    <w:rsid w:val="5B256C20"/>
    <w:rsid w:val="5C3B0E73"/>
    <w:rsid w:val="5E37430A"/>
    <w:rsid w:val="658611C7"/>
    <w:rsid w:val="68B770F0"/>
    <w:rsid w:val="71F90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Segoe UI" w:hAnsi="Segoe UI" w:eastAsia="兰亭宋体" w:cs="Segoe UI"/>
      <w:b/>
      <w:bCs/>
      <w:kern w:val="0"/>
      <w:sz w:val="21"/>
      <w:szCs w:val="21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2112</Words>
  <Characters>4359</Characters>
  <Lines>0</Lines>
  <Paragraphs>0</Paragraphs>
  <TotalTime>0</TotalTime>
  <ScaleCrop>false</ScaleCrop>
  <LinksUpToDate>false</LinksUpToDate>
  <CharactersWithSpaces>4635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2024-08-11T04:03:00Z</dcterms:created>
  <dc:creator>Wu</dc:creator>
  <cp:lastModifiedBy>吴豪爽</cp:lastModifiedBy>
  <dcterms:modified xsi:type="dcterms:W3CDTF">2026-02-01T05:44:59Z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901D0BBFED9A4C6BBFCE98ECF854ADB0_13</vt:lpwstr>
  </property>
  <property fmtid="{D5CDD505-2E9C-101B-9397-08002B2CF9AE}" pid="4" name="KSOTemplateDocerSaveRecord">
    <vt:lpwstr>eyJoZGlkIjoiOGUxMmFlMjA4MWY3NTg4OTI3MDYxZDNmNjUxNTZkMzQiLCJ1c2VySWQiOiI5Mzg2MTgzNDAifQ==</vt:lpwstr>
  </property>
</Properties>
</file>