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C0A6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上海公寓电梯费用分布</w:t>
      </w:r>
    </w:p>
    <w:p w14:paraId="0679033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"https://www.mdpi.com/2071-1050/14/9/5491"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Community Renewal under Multi-Stakeholder Co-Governance: A Case Study of Shanghai’s Inner City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0B0F49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社区费用分配</w:t>
      </w:r>
    </w:p>
    <w:p w14:paraId="3B65893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"https://www.degruyterbrill.com/document/doi/10.1515/rle-2016-0001/html"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公寓电梯成本分摊规则的法律和经济学观点</w:t>
      </w:r>
      <w:r>
        <w:rPr>
          <w:rFonts w:ascii="宋体" w:hAnsi="宋体" w:eastAsia="宋体" w:cs="宋体"/>
          <w:sz w:val="24"/>
          <w:szCs w:val="24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兰亭宋体">
    <w:panose1 w:val="02000503000000000000"/>
    <w:charset w:val="86"/>
    <w:family w:val="auto"/>
    <w:pitch w:val="default"/>
    <w:sig w:usb0="8000002F" w:usb1="084164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DB0CBB"/>
    <w:rsid w:val="68B770F0"/>
    <w:rsid w:val="7E7C5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Segoe UI" w:hAnsi="Segoe UI" w:eastAsia="兰亭宋体" w:cs="Segoe UI"/>
      <w:b/>
      <w:bCs/>
      <w:kern w:val="0"/>
      <w:sz w:val="21"/>
      <w:szCs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2024-08-11T04:03:00Z</dcterms:created>
  <dc:creator>Wu</dc:creator>
  <cp:lastModifiedBy>吴豪爽</cp:lastModifiedBy>
  <dcterms:modified xsi:type="dcterms:W3CDTF">2025-05-14T05:43:34Z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6F1BBE472D7E4D4DBEA982FC8BD9E0DE_12</vt:lpwstr>
  </property>
  <property fmtid="{D5CDD505-2E9C-101B-9397-08002B2CF9AE}" pid="4" name="KSOTemplateDocerSaveRecord">
    <vt:lpwstr>eyJoZGlkIjoiOGUxMmFlMjA4MWY3NTg4OTI3MDYxZDNmNjUxNTZkMzQiLCJ1c2VySWQiOiI5Mzg2MTgzNDAifQ==</vt:lpwstr>
  </property>
</Properties>
</file>