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BD03F" w14:textId="77777777" w:rsidR="00FD5A3D" w:rsidRDefault="00FD5A3D">
      <w:pPr>
        <w:widowControl/>
        <w:jc w:val="left"/>
        <w:rPr>
          <w:rFonts w:ascii="宋体" w:eastAsia="宋体" w:hAnsi="宋体" w:cs="宋体"/>
          <w:kern w:val="0"/>
          <w:sz w:val="24"/>
          <w:szCs w:val="24"/>
        </w:rPr>
      </w:pPr>
      <w:r>
        <w:rPr>
          <w:rFonts w:ascii="宋体" w:eastAsia="宋体" w:hAnsi="宋体" w:cs="宋体"/>
          <w:kern w:val="0"/>
          <w:sz w:val="24"/>
          <w:szCs w:val="24"/>
        </w:rPr>
        <w:t>Advanced Biotechnology</w:t>
      </w:r>
      <w:r w:rsidRPr="00FD5A3D">
        <w:rPr>
          <w:rFonts w:ascii="宋体" w:eastAsia="宋体" w:hAnsi="宋体" w:cs="宋体"/>
          <w:kern w:val="0"/>
          <w:sz w:val="24"/>
          <w:szCs w:val="24"/>
        </w:rPr>
        <w:t xml:space="preserve"> | 中山大学贺雄雷教授团队采用定量评估新方法探究体细胞克隆扩增与癌症风险的相关性</w:t>
      </w:r>
    </w:p>
    <w:p w14:paraId="1640E868" w14:textId="487F5C7C" w:rsidR="00FD5A3D" w:rsidRDefault="00FD5A3D">
      <w:pPr>
        <w:widowControl/>
        <w:jc w:val="left"/>
        <w:rPr>
          <w:rFonts w:ascii="宋体" w:eastAsia="宋体" w:hAnsi="宋体" w:cs="宋体"/>
          <w:kern w:val="0"/>
          <w:sz w:val="24"/>
          <w:szCs w:val="24"/>
        </w:rPr>
      </w:pPr>
      <w:bookmarkStart w:id="0" w:name="_GoBack"/>
      <w:bookmarkEnd w:id="0"/>
      <w:r>
        <w:rPr>
          <w:rFonts w:ascii="宋体" w:eastAsia="宋体" w:hAnsi="宋体" w:cs="宋体"/>
          <w:kern w:val="0"/>
          <w:sz w:val="24"/>
          <w:szCs w:val="24"/>
        </w:rPr>
        <w:br w:type="page"/>
      </w:r>
    </w:p>
    <w:p w14:paraId="0B4466A2" w14:textId="2737799B"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lastRenderedPageBreak/>
        <w:t>体细胞克隆扩增是多细胞生物体内细胞增殖的一种重要形式，长期以来被认为与癌症的发生和发展密切相关。尤其是在血液系统中，驱动突变导致的克隆扩增被视为白血病等血液系统肿瘤发生的重要标志。癌症的本质是细胞的失控增殖，而体细胞克隆扩增也具备增殖的表现和特征。此外，两者的驱动突变存在一定的重合性。因此，传统观点认为，体细胞克隆扩增是癌症发生的前体状态。</w:t>
      </w:r>
    </w:p>
    <w:p w14:paraId="5A220AF3" w14:textId="77777777" w:rsidR="00A06C80" w:rsidRPr="00A06C80" w:rsidRDefault="00A06C80" w:rsidP="00A06C80">
      <w:pPr>
        <w:widowControl/>
        <w:jc w:val="left"/>
        <w:rPr>
          <w:rFonts w:ascii="宋体" w:eastAsia="宋体" w:hAnsi="宋体" w:cs="宋体"/>
          <w:kern w:val="0"/>
          <w:sz w:val="24"/>
          <w:szCs w:val="24"/>
        </w:rPr>
      </w:pPr>
    </w:p>
    <w:p w14:paraId="670AEBA9" w14:textId="5482375D" w:rsidR="00A06C80" w:rsidRPr="00A06C80" w:rsidRDefault="00A06C80" w:rsidP="00A06C80">
      <w:pPr>
        <w:widowControl/>
        <w:jc w:val="left"/>
        <w:rPr>
          <w:rFonts w:ascii="宋体" w:eastAsia="宋体" w:hAnsi="宋体" w:cs="宋体"/>
          <w:kern w:val="0"/>
          <w:sz w:val="24"/>
          <w:szCs w:val="24"/>
        </w:rPr>
      </w:pPr>
      <w:r w:rsidRPr="00A06C80">
        <w:rPr>
          <w:rFonts w:ascii="宋体" w:eastAsia="宋体" w:hAnsi="宋体" w:cs="宋体"/>
          <w:noProof/>
          <w:kern w:val="0"/>
          <w:sz w:val="24"/>
          <w:szCs w:val="24"/>
        </w:rPr>
        <w:drawing>
          <wp:inline distT="0" distB="0" distL="0" distR="0" wp14:anchorId="79EEE50A" wp14:editId="60E87203">
            <wp:extent cx="5249544" cy="2059016"/>
            <wp:effectExtent l="0" t="0" r="889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03410" cy="2080144"/>
                    </a:xfrm>
                    <a:prstGeom prst="rect">
                      <a:avLst/>
                    </a:prstGeom>
                    <a:noFill/>
                    <a:ln>
                      <a:noFill/>
                    </a:ln>
                  </pic:spPr>
                </pic:pic>
              </a:graphicData>
            </a:graphic>
          </wp:inline>
        </w:drawing>
      </w:r>
    </w:p>
    <w:p w14:paraId="28FF9500" w14:textId="77777777" w:rsidR="00A06C80" w:rsidRPr="00A06C80" w:rsidRDefault="00A06C80" w:rsidP="00A06C80">
      <w:pPr>
        <w:widowControl/>
        <w:jc w:val="left"/>
        <w:rPr>
          <w:rFonts w:ascii="宋体" w:eastAsia="宋体" w:hAnsi="宋体" w:cs="宋体"/>
          <w:kern w:val="0"/>
          <w:sz w:val="24"/>
          <w:szCs w:val="24"/>
        </w:rPr>
      </w:pPr>
    </w:p>
    <w:p w14:paraId="7003FC56"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近日，中山大学生命科学学院贺雄雷教授团队采用了一种简便的定量评估方法，深入挖掘公共数据，对五个人类个体的九个不同器官的体细胞克隆扩增程度进行了定量评估，并与癌症风险数据进行了详尽的比较分析，该项研究</w:t>
      </w:r>
      <w:r w:rsidRPr="00A06C80">
        <w:rPr>
          <w:rFonts w:ascii="宋体" w:eastAsia="宋体" w:hAnsi="宋体" w:cs="宋体"/>
          <w:bCs/>
          <w:kern w:val="0"/>
          <w:sz w:val="24"/>
          <w:szCs w:val="24"/>
        </w:rPr>
        <w:t>发现了一些颠覆传统认知的结果</w:t>
      </w:r>
      <w:r w:rsidRPr="00A06C80">
        <w:rPr>
          <w:rFonts w:ascii="宋体" w:eastAsia="宋体" w:hAnsi="宋体" w:cs="宋体"/>
          <w:kern w:val="0"/>
          <w:sz w:val="24"/>
          <w:szCs w:val="24"/>
        </w:rPr>
        <w:t>：</w:t>
      </w:r>
    </w:p>
    <w:p w14:paraId="63F45930" w14:textId="77777777" w:rsidR="00A06C80" w:rsidRPr="00A06C80" w:rsidRDefault="00A06C80" w:rsidP="00A06C80">
      <w:pPr>
        <w:widowControl/>
        <w:ind w:firstLine="480"/>
        <w:jc w:val="left"/>
        <w:rPr>
          <w:rFonts w:ascii="宋体" w:eastAsia="宋体" w:hAnsi="宋体" w:cs="宋体"/>
          <w:kern w:val="0"/>
          <w:sz w:val="24"/>
          <w:szCs w:val="24"/>
        </w:rPr>
      </w:pPr>
    </w:p>
    <w:p w14:paraId="300E80A6"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首先，研究发现</w:t>
      </w:r>
      <w:r w:rsidRPr="00A06C80">
        <w:rPr>
          <w:rFonts w:ascii="宋体" w:eastAsia="宋体" w:hAnsi="宋体" w:cs="宋体"/>
          <w:bCs/>
          <w:kern w:val="0"/>
          <w:sz w:val="24"/>
          <w:szCs w:val="24"/>
        </w:rPr>
        <w:t>不同器官的体细胞克隆扩增程度存在明显差异</w:t>
      </w:r>
      <w:r w:rsidRPr="00A06C80">
        <w:rPr>
          <w:rFonts w:ascii="宋体" w:eastAsia="宋体" w:hAnsi="宋体" w:cs="宋体"/>
          <w:kern w:val="0"/>
          <w:sz w:val="24"/>
          <w:szCs w:val="24"/>
        </w:rPr>
        <w:t>。这一结果表明，各器官在克隆扩增方面有着各自的特性和潜力。这种差异可能与器官的生物学特性、细胞更新速率、对损伤的反应以及环境因素等多种因素有关。例如，消化系统的器官由于频繁接触外界物质，可能需要更高的细胞更新速率，从而表现出不同的克隆扩增模式（图1a）。</w:t>
      </w:r>
    </w:p>
    <w:p w14:paraId="376A1D99" w14:textId="77777777" w:rsidR="00A06C80" w:rsidRPr="00A06C80" w:rsidRDefault="00A06C80" w:rsidP="00A06C80">
      <w:pPr>
        <w:widowControl/>
        <w:jc w:val="left"/>
        <w:rPr>
          <w:rFonts w:ascii="宋体" w:eastAsia="宋体" w:hAnsi="宋体" w:cs="宋体"/>
          <w:kern w:val="0"/>
          <w:sz w:val="24"/>
          <w:szCs w:val="24"/>
        </w:rPr>
      </w:pPr>
    </w:p>
    <w:p w14:paraId="7CFE4062"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其次，</w:t>
      </w:r>
      <w:r w:rsidRPr="00A06C80">
        <w:rPr>
          <w:rFonts w:ascii="宋体" w:eastAsia="宋体" w:hAnsi="宋体" w:cs="宋体"/>
          <w:bCs/>
          <w:kern w:val="0"/>
          <w:sz w:val="24"/>
          <w:szCs w:val="24"/>
        </w:rPr>
        <w:t>同一器官的克隆扩增程度在年龄相近的个体间基本一致</w:t>
      </w:r>
      <w:r w:rsidRPr="00A06C80">
        <w:rPr>
          <w:rFonts w:ascii="宋体" w:eastAsia="宋体" w:hAnsi="宋体" w:cs="宋体"/>
          <w:kern w:val="0"/>
          <w:sz w:val="24"/>
          <w:szCs w:val="24"/>
        </w:rPr>
        <w:t>。对单个器官而言，其克隆扩增水平在老年群体中展现出相似的扩增水平。进一步分析表明，器官的扩增水平差异大部分由器官本身特性所贡献（图1b-d）。这意味着器官的固有特性在决定其克隆扩增潜力方面起着关键作用。然而，由于样本数目的局限性，个体间的细微差异尚无法进行更为详细的拆分，这也提示未来研究需要更大规模的数据集来验证这些发现。</w:t>
      </w:r>
    </w:p>
    <w:p w14:paraId="40F8EC95" w14:textId="77777777" w:rsidR="00A06C80" w:rsidRPr="00A06C80" w:rsidRDefault="00A06C80" w:rsidP="00A06C80">
      <w:pPr>
        <w:widowControl/>
        <w:ind w:firstLine="480"/>
        <w:jc w:val="left"/>
        <w:rPr>
          <w:rFonts w:ascii="宋体" w:eastAsia="宋体" w:hAnsi="宋体" w:cs="宋体"/>
          <w:kern w:val="0"/>
          <w:sz w:val="24"/>
          <w:szCs w:val="24"/>
        </w:rPr>
      </w:pPr>
    </w:p>
    <w:p w14:paraId="2898E912"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最重要的是，研究显示</w:t>
      </w:r>
      <w:r w:rsidRPr="00A06C80">
        <w:rPr>
          <w:rFonts w:ascii="宋体" w:eastAsia="宋体" w:hAnsi="宋体" w:cs="宋体"/>
          <w:bCs/>
          <w:kern w:val="0"/>
          <w:sz w:val="24"/>
          <w:szCs w:val="24"/>
        </w:rPr>
        <w:t>癌症发生风险与体细胞克隆扩增程度在固体组织中不存在显著相关性</w:t>
      </w:r>
      <w:r w:rsidRPr="00A06C80">
        <w:rPr>
          <w:rFonts w:ascii="宋体" w:eastAsia="宋体" w:hAnsi="宋体" w:cs="宋体"/>
          <w:kern w:val="0"/>
          <w:sz w:val="24"/>
          <w:szCs w:val="24"/>
        </w:rPr>
        <w:t>（图1e-f）。这一发现挑战了传统观点，揭示了体细胞克隆扩增程度与癌症发生之间可能的潜在独立机制。具体而言，虽然体细胞克隆扩增常被视为癌症的前兆，但在固体组织中，这种扩增似乎并不直接转化为癌症风险。这一结果暗示，克隆扩增和癌症之间可能存在更复杂的关系，而不仅仅是简单的因果关联。</w:t>
      </w:r>
    </w:p>
    <w:p w14:paraId="0D322252" w14:textId="77777777" w:rsidR="00A06C80" w:rsidRPr="00A06C80" w:rsidRDefault="00A06C80" w:rsidP="00A06C80">
      <w:pPr>
        <w:widowControl/>
        <w:ind w:firstLine="480"/>
        <w:jc w:val="left"/>
        <w:rPr>
          <w:rFonts w:ascii="宋体" w:eastAsia="宋体" w:hAnsi="宋体" w:cs="宋体"/>
          <w:kern w:val="0"/>
          <w:sz w:val="24"/>
          <w:szCs w:val="24"/>
        </w:rPr>
      </w:pPr>
    </w:p>
    <w:p w14:paraId="575B61E7" w14:textId="05F480E9" w:rsidR="00A06C80" w:rsidRPr="00A06C80" w:rsidRDefault="00A06C80" w:rsidP="00A06C80">
      <w:pPr>
        <w:widowControl/>
        <w:spacing w:before="100" w:beforeAutospacing="1" w:after="100" w:afterAutospacing="1"/>
        <w:jc w:val="center"/>
        <w:rPr>
          <w:rFonts w:ascii="宋体" w:eastAsia="宋体" w:hAnsi="宋体" w:cs="宋体"/>
          <w:kern w:val="0"/>
          <w:sz w:val="24"/>
          <w:szCs w:val="24"/>
        </w:rPr>
      </w:pPr>
      <w:r w:rsidRPr="00A06C80">
        <w:rPr>
          <w:rFonts w:ascii="宋体" w:eastAsia="宋体" w:hAnsi="宋体" w:cs="宋体"/>
          <w:noProof/>
          <w:kern w:val="0"/>
          <w:sz w:val="24"/>
          <w:szCs w:val="24"/>
        </w:rPr>
        <w:lastRenderedPageBreak/>
        <w:drawing>
          <wp:inline distT="0" distB="0" distL="0" distR="0" wp14:anchorId="5CD5A5BF" wp14:editId="5BD6240E">
            <wp:extent cx="5156200" cy="3577512"/>
            <wp:effectExtent l="0" t="0" r="6350" b="444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2004" cy="3595416"/>
                    </a:xfrm>
                    <a:prstGeom prst="rect">
                      <a:avLst/>
                    </a:prstGeom>
                    <a:noFill/>
                    <a:ln>
                      <a:noFill/>
                    </a:ln>
                  </pic:spPr>
                </pic:pic>
              </a:graphicData>
            </a:graphic>
          </wp:inline>
        </w:drawing>
      </w:r>
    </w:p>
    <w:p w14:paraId="67C7CB02" w14:textId="77777777" w:rsidR="00A06C80" w:rsidRPr="00A06C80" w:rsidRDefault="00A06C80" w:rsidP="00A06C80">
      <w:pPr>
        <w:widowControl/>
        <w:jc w:val="center"/>
        <w:rPr>
          <w:rFonts w:ascii="宋体" w:eastAsia="宋体" w:hAnsi="宋体" w:cs="宋体"/>
          <w:kern w:val="0"/>
          <w:sz w:val="24"/>
          <w:szCs w:val="24"/>
        </w:rPr>
      </w:pPr>
      <w:r w:rsidRPr="00A06C80">
        <w:rPr>
          <w:rFonts w:ascii="宋体" w:eastAsia="宋体" w:hAnsi="宋体" w:cs="宋体"/>
          <w:kern w:val="0"/>
          <w:sz w:val="24"/>
          <w:szCs w:val="24"/>
        </w:rPr>
        <w:t>图1  人类样本多器官克隆扩增程度与癌症风险无显著相关性</w:t>
      </w:r>
    </w:p>
    <w:p w14:paraId="76C401BC" w14:textId="77777777" w:rsidR="00A06C80" w:rsidRPr="00A06C80" w:rsidRDefault="00A06C80" w:rsidP="00A06C80">
      <w:pPr>
        <w:widowControl/>
        <w:jc w:val="center"/>
        <w:rPr>
          <w:rFonts w:ascii="宋体" w:eastAsia="宋体" w:hAnsi="宋体" w:cs="宋体"/>
          <w:kern w:val="0"/>
          <w:sz w:val="24"/>
          <w:szCs w:val="24"/>
        </w:rPr>
      </w:pPr>
    </w:p>
    <w:p w14:paraId="58838CB8"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该结果暗示着</w:t>
      </w:r>
      <w:r w:rsidRPr="00A06C80">
        <w:rPr>
          <w:rFonts w:ascii="宋体" w:eastAsia="宋体" w:hAnsi="宋体" w:cs="宋体"/>
          <w:bCs/>
          <w:kern w:val="0"/>
          <w:sz w:val="24"/>
          <w:szCs w:val="24"/>
        </w:rPr>
        <w:t>体细胞克隆扩增与癌症形成可能是两个相似但独立的体细胞演化过程</w:t>
      </w:r>
      <w:r w:rsidRPr="00A06C80">
        <w:rPr>
          <w:rFonts w:ascii="宋体" w:eastAsia="宋体" w:hAnsi="宋体" w:cs="宋体"/>
          <w:kern w:val="0"/>
          <w:sz w:val="24"/>
          <w:szCs w:val="24"/>
        </w:rPr>
        <w:t>。通过研究体细胞克隆扩增的规律将有利于理解正常组织的良性维持与癌症发生的恶性扩增间的差异。其次，这些信息对于研究衰老过程也至关重要，因为克隆扩增在老年个体中更为显著。此外，某些疾病的发病机制可能与体细胞异常克隆扩增相关（如克罗恩病与特发性肺纤维化），因此对其进行深入研究将有助于揭示其底层的病理机制与开发对应的治疗手段。在癌症预防和治疗方面，虽然目前没有证据表明直接针对克隆扩增可以降低癌症风险，但这些研究结果为开发新的策略提供了线索。例如，如果可以识别出哪些克隆扩增是良性且对健康无害的，科学家们可能就能更精准地筛查和监控那些具有潜在恶性转化风险的克隆。</w:t>
      </w:r>
    </w:p>
    <w:p w14:paraId="49BA5FC3" w14:textId="77777777" w:rsidR="00A06C80" w:rsidRPr="00A06C80" w:rsidRDefault="00A06C80" w:rsidP="00A06C80">
      <w:pPr>
        <w:widowControl/>
        <w:ind w:firstLine="480"/>
        <w:jc w:val="left"/>
        <w:rPr>
          <w:rFonts w:ascii="宋体" w:eastAsia="宋体" w:hAnsi="宋体" w:cs="宋体"/>
          <w:kern w:val="0"/>
          <w:sz w:val="24"/>
          <w:szCs w:val="24"/>
        </w:rPr>
      </w:pPr>
    </w:p>
    <w:p w14:paraId="0DF88B6B" w14:textId="77777777" w:rsidR="00A06C80" w:rsidRPr="00A06C80" w:rsidRDefault="00A06C80" w:rsidP="00A06C80">
      <w:pPr>
        <w:widowControl/>
        <w:ind w:firstLine="480"/>
        <w:jc w:val="left"/>
        <w:rPr>
          <w:rFonts w:ascii="宋体" w:eastAsia="宋体" w:hAnsi="宋体" w:cs="宋体"/>
          <w:kern w:val="0"/>
          <w:sz w:val="24"/>
          <w:szCs w:val="24"/>
        </w:rPr>
      </w:pPr>
      <w:r w:rsidRPr="00A06C80">
        <w:rPr>
          <w:rFonts w:ascii="宋体" w:eastAsia="宋体" w:hAnsi="宋体" w:cs="宋体"/>
          <w:kern w:val="0"/>
          <w:sz w:val="24"/>
          <w:szCs w:val="24"/>
        </w:rPr>
        <w:t xml:space="preserve">该研究以“Variation in cancer risk between organs </w:t>
      </w:r>
      <w:proofErr w:type="spellStart"/>
      <w:r w:rsidRPr="00A06C80">
        <w:rPr>
          <w:rFonts w:ascii="宋体" w:eastAsia="宋体" w:hAnsi="宋体" w:cs="宋体"/>
          <w:kern w:val="0"/>
          <w:sz w:val="24"/>
          <w:szCs w:val="24"/>
        </w:rPr>
        <w:t>can not</w:t>
      </w:r>
      <w:proofErr w:type="spellEnd"/>
      <w:r w:rsidRPr="00A06C80">
        <w:rPr>
          <w:rFonts w:ascii="宋体" w:eastAsia="宋体" w:hAnsi="宋体" w:cs="宋体"/>
          <w:kern w:val="0"/>
          <w:sz w:val="24"/>
          <w:szCs w:val="24"/>
        </w:rPr>
        <w:t xml:space="preserve"> be explained by the degree of somatic clonal expansion”为题发表在</w:t>
      </w:r>
      <w:r w:rsidRPr="00A06C80">
        <w:rPr>
          <w:rFonts w:ascii="宋体" w:eastAsia="宋体" w:hAnsi="宋体" w:cs="宋体"/>
          <w:i/>
          <w:iCs/>
          <w:kern w:val="0"/>
          <w:sz w:val="24"/>
          <w:szCs w:val="24"/>
        </w:rPr>
        <w:t>Advanced Biotechnology</w:t>
      </w:r>
      <w:r w:rsidRPr="00A06C80">
        <w:rPr>
          <w:rFonts w:ascii="宋体" w:eastAsia="宋体" w:hAnsi="宋体" w:cs="宋体"/>
          <w:kern w:val="0"/>
          <w:sz w:val="24"/>
          <w:szCs w:val="24"/>
        </w:rPr>
        <w:t>。中山大学生命科学学院</w:t>
      </w:r>
      <w:r w:rsidRPr="00A06C80">
        <w:rPr>
          <w:rFonts w:ascii="宋体" w:eastAsia="宋体" w:hAnsi="宋体" w:cs="宋体"/>
          <w:bCs/>
          <w:kern w:val="0"/>
          <w:sz w:val="24"/>
          <w:szCs w:val="24"/>
        </w:rPr>
        <w:t>贺雄雷教授</w:t>
      </w:r>
      <w:r w:rsidRPr="00A06C80">
        <w:rPr>
          <w:rFonts w:ascii="宋体" w:eastAsia="宋体" w:hAnsi="宋体" w:cs="宋体"/>
          <w:kern w:val="0"/>
          <w:sz w:val="24"/>
          <w:szCs w:val="24"/>
        </w:rPr>
        <w:t>、</w:t>
      </w:r>
      <w:r w:rsidRPr="00A06C80">
        <w:rPr>
          <w:rFonts w:ascii="宋体" w:eastAsia="宋体" w:hAnsi="宋体" w:cs="宋体"/>
          <w:bCs/>
          <w:kern w:val="0"/>
          <w:sz w:val="24"/>
          <w:szCs w:val="24"/>
        </w:rPr>
        <w:t>邓善俊</w:t>
      </w:r>
      <w:r w:rsidRPr="00A06C80">
        <w:rPr>
          <w:rFonts w:ascii="宋体" w:eastAsia="宋体" w:hAnsi="宋体" w:cs="宋体"/>
          <w:kern w:val="0"/>
          <w:sz w:val="24"/>
          <w:szCs w:val="24"/>
        </w:rPr>
        <w:t>博士后为该工作的共同通讯作者，张迪博士</w:t>
      </w:r>
      <w:proofErr w:type="gramStart"/>
      <w:r w:rsidRPr="00A06C80">
        <w:rPr>
          <w:rFonts w:ascii="宋体" w:eastAsia="宋体" w:hAnsi="宋体" w:cs="宋体"/>
          <w:kern w:val="0"/>
          <w:sz w:val="24"/>
          <w:szCs w:val="24"/>
        </w:rPr>
        <w:t>和张澳硕士</w:t>
      </w:r>
      <w:proofErr w:type="gramEnd"/>
      <w:r w:rsidRPr="00A06C80">
        <w:rPr>
          <w:rFonts w:ascii="宋体" w:eastAsia="宋体" w:hAnsi="宋体" w:cs="宋体"/>
          <w:kern w:val="0"/>
          <w:sz w:val="24"/>
          <w:szCs w:val="24"/>
        </w:rPr>
        <w:t>为本文的共同第一作者。该研究得到了国家重点研发计划、国家自然科学基金等项目资助。</w:t>
      </w:r>
    </w:p>
    <w:p w14:paraId="3A182AC2" w14:textId="77777777" w:rsidR="002C7BC0" w:rsidRPr="00A06C80" w:rsidRDefault="002C7BC0"/>
    <w:sectPr w:rsidR="002C7BC0" w:rsidRPr="00A06C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C0"/>
    <w:rsid w:val="000455DF"/>
    <w:rsid w:val="002C7BC0"/>
    <w:rsid w:val="00A06C80"/>
    <w:rsid w:val="00FD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C450"/>
  <w15:chartTrackingRefBased/>
  <w15:docId w15:val="{D6B31052-3AA2-420A-AE97-61BCFA2D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06C8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06C80"/>
    <w:rPr>
      <w:b/>
      <w:bCs/>
    </w:rPr>
  </w:style>
  <w:style w:type="character" w:customStyle="1" w:styleId="jsdarkmode14">
    <w:name w:val="js_darkmode__14"/>
    <w:basedOn w:val="a0"/>
    <w:rsid w:val="00A06C80"/>
  </w:style>
  <w:style w:type="character" w:customStyle="1" w:styleId="jsdarkmode15">
    <w:name w:val="js_darkmode__15"/>
    <w:basedOn w:val="a0"/>
    <w:rsid w:val="00A06C80"/>
  </w:style>
  <w:style w:type="character" w:customStyle="1" w:styleId="jsdarkmode16">
    <w:name w:val="js_darkmode__16"/>
    <w:basedOn w:val="a0"/>
    <w:rsid w:val="00A06C80"/>
  </w:style>
  <w:style w:type="character" w:styleId="a5">
    <w:name w:val="Emphasis"/>
    <w:basedOn w:val="a0"/>
    <w:uiPriority w:val="20"/>
    <w:qFormat/>
    <w:rsid w:val="00A06C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522050">
      <w:bodyDiv w:val="1"/>
      <w:marLeft w:val="0"/>
      <w:marRight w:val="0"/>
      <w:marTop w:val="0"/>
      <w:marBottom w:val="0"/>
      <w:divBdr>
        <w:top w:val="none" w:sz="0" w:space="0" w:color="auto"/>
        <w:left w:val="none" w:sz="0" w:space="0" w:color="auto"/>
        <w:bottom w:val="none" w:sz="0" w:space="0" w:color="auto"/>
        <w:right w:val="none" w:sz="0" w:space="0" w:color="auto"/>
      </w:divBdr>
    </w:div>
    <w:div w:id="1168403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217</Words>
  <Characters>1238</Characters>
  <Application>Microsoft Office Word</Application>
  <DocSecurity>0</DocSecurity>
  <Lines>10</Lines>
  <Paragraphs>2</Paragraphs>
  <ScaleCrop>false</ScaleCrop>
  <Company>中山大学</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4</cp:revision>
  <dcterms:created xsi:type="dcterms:W3CDTF">2026-10-11T10:02:00Z</dcterms:created>
  <dcterms:modified xsi:type="dcterms:W3CDTF">2026-10-11T10:03:00Z</dcterms:modified>
</cp:coreProperties>
</file>