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B2A"/>
          <w:sz w:val="80"/>
          <w:szCs w:val="80"/>
        </w:rPr>
        <w:t xml:space="preserve">PRCM | ASRL</w:t>
      </w:r>
    </w:p>
    <w:p>
      <w:pPr>
        <w:spacing w:after="80" w:before="0"/>
        <w:jc w:val="center"/>
      </w:pPr>
      <w:r>
        <w:rPr>
          <w:rFonts w:ascii="Arial" w:cs="Arial" w:eastAsia="Arial" w:hAnsi="Arial"/>
          <w:color w:val="B22234"/>
          <w:sz w:val="36"/>
          <w:szCs w:val="36"/>
        </w:rPr>
        <w:t xml:space="preserve">Adaptive Spaced Repetition Learning</w:t>
      </w:r>
    </w:p>
    <w:p>
      <w:pPr>
        <w:spacing w:after="600" w:before="0"/>
        <w:jc w:val="center"/>
      </w:pPr>
      <w:r>
        <w:rPr>
          <w:rFonts w:ascii="Arial" w:cs="Arial" w:eastAsia="Arial" w:hAnsi="Arial"/>
          <w:color w:val="64748B"/>
          <w:sz w:val="24"/>
          <w:szCs w:val="24"/>
        </w:rPr>
        <w:t xml:space="preserve">UTE  ·  Deck Forge  ·  ASRL  ·  Five AI Providers</w:t>
      </w:r>
    </w:p>
    <w:p>
      <w:pPr>
        <w:pBdr>
          <w:bottom w:val="single" w:color="B22234" w:sz="8" w:space="8"/>
        </w:pBdr>
        <w:spacing w:after="400" w:before="0"/>
      </w:pPr>
    </w:p>
    <w:p>
      <w:pPr>
        <w:spacing w:after="120" w:before="400"/>
        <w:jc w:val="center"/>
      </w:pPr>
      <w:r>
        <w:rPr>
          <w:rFonts w:ascii="Arial" w:cs="Arial" w:eastAsia="Arial" w:hAnsi="Arial"/>
          <w:b/>
          <w:bCs/>
          <w:color w:val="0D1B2A"/>
          <w:sz w:val="44"/>
          <w:szCs w:val="44"/>
        </w:rPr>
        <w:t xml:space="preserve">🇺🇸  US Market Business Plan</w:t>
      </w:r>
    </w:p>
    <w:p>
      <w:pPr>
        <w:spacing w:after="80" w:before="0"/>
        <w:jc w:val="center"/>
      </w:pPr>
      <w:r>
        <w:rPr>
          <w:rFonts w:ascii="Arial" w:cs="Arial" w:eastAsia="Arial" w:hAnsi="Arial"/>
          <w:color w:val="B22234"/>
          <w:sz w:val="22"/>
          <w:szCs w:val="22"/>
        </w:rPr>
        <w:t xml:space="preserve">HIPAA  ·  FERPA  ·  ADA 508  ·  SOC 2  ·  FedRAMP Pathway</w:t>
      </w:r>
    </w:p>
    <w:p>
      <w:pPr>
        <w:spacing w:after="1800" w:before="0"/>
        <w:jc w:val="center"/>
      </w:pPr>
      <w:r>
        <w:rPr>
          <w:rFonts w:ascii="Arial" w:cs="Arial" w:eastAsia="Arial" w:hAnsi="Arial"/>
          <w:color w:val="64748B"/>
          <w:sz w:val="22"/>
          <w:szCs w:val="22"/>
        </w:rPr>
        <w:t xml:space="preserve">Version 2.0.0  —  May 2026  —  Pre-Seed / Seed  —  Confidential</w:t>
      </w:r>
    </w:p>
    <w:p>
      <w:pPr>
        <w:jc w:val="center"/>
      </w:pPr>
      <w:r>
        <w:rPr>
          <w:rFonts w:ascii="Arial" w:cs="Arial" w:eastAsia="Arial" w:hAnsi="Arial"/>
          <w:b/>
          <w:bCs/>
          <w:color w:val="0D1B2A"/>
          <w:sz w:val="20"/>
          <w:szCs w:val="20"/>
        </w:rPr>
        <w:t xml:space="preserve">Contact: </w:t>
      </w:r>
      <w:r>
        <w:rPr>
          <w:rFonts w:ascii="Arial" w:cs="Arial" w:eastAsia="Arial" w:hAnsi="Arial"/>
          <w:color w:val="64748B"/>
          <w:sz w:val="20"/>
          <w:szCs w:val="20"/>
        </w:rPr>
        <w:t xml:space="preserve">info@diatasso.net</w:t>
      </w:r>
    </w:p>
    <w:p>
      <w:pPr>
        <w:jc w:val="center"/>
      </w:pPr>
      <w:r>
        <w:rPr>
          <w:rFonts w:ascii="Arial" w:cs="Arial" w:eastAsia="Arial" w:hAnsi="Arial"/>
          <w:b/>
          <w:bCs/>
          <w:color w:val="0D1B2A"/>
          <w:sz w:val="20"/>
          <w:szCs w:val="20"/>
        </w:rPr>
        <w:t xml:space="preserve">Investor Portal: </w:t>
      </w:r>
      <w:r>
        <w:rPr>
          <w:rFonts w:ascii="Arial" w:cs="Arial" w:eastAsia="Arial" w:hAnsi="Arial"/>
          <w:color w:val="64748B"/>
          <w:sz w:val="20"/>
          <w:szCs w:val="20"/>
        </w:rPr>
        <w:t xml:space="preserve">https://prcm-asrl-pitch.netlify.app/prcm_investor_portal.html</w:t>
      </w:r>
    </w:p>
    <w:p>
      <w:pPr>
        <w:jc w:val="center"/>
      </w:pPr>
      <w:r>
        <w:rPr>
          <w:rFonts w:ascii="Arial" w:cs="Arial" w:eastAsia="Arial" w:hAnsi="Arial"/>
          <w:b/>
          <w:bCs/>
          <w:color w:val="0D1B2A"/>
          <w:sz w:val="20"/>
          <w:szCs w:val="20"/>
        </w:rPr>
        <w:t xml:space="preserve">Live Demo: </w:t>
      </w:r>
      <w:r>
        <w:rPr>
          <w:rFonts w:ascii="Arial" w:cs="Arial" w:eastAsia="Arial" w:hAnsi="Arial"/>
          <w:color w:val="64748B"/>
          <w:sz w:val="20"/>
          <w:szCs w:val="20"/>
        </w:rPr>
        <w:t xml:space="preserve">https://prcm-asrl.netlify.app/start_here.html</w:t>
      </w:r>
    </w:p>
    <w:p>
      <w:pPr>
        <w:jc w:val="center"/>
      </w:pPr>
      <w:r>
        <w:rPr>
          <w:rFonts w:ascii="Arial" w:cs="Arial" w:eastAsia="Arial" w:hAnsi="Arial"/>
          <w:b/>
          <w:bCs/>
          <w:color w:val="0D1B2A"/>
          <w:sz w:val="20"/>
          <w:szCs w:val="20"/>
        </w:rPr>
        <w:t xml:space="preserve">Book a Walkthrough: </w:t>
      </w:r>
      <w:r>
        <w:rPr>
          <w:rFonts w:ascii="Arial" w:cs="Arial" w:eastAsia="Arial" w:hAnsi="Arial"/>
          <w:color w:val="64748B"/>
          <w:sz w:val="20"/>
          <w:szCs w:val="20"/>
        </w:rPr>
        <w:t xml:space="preserve">https://calendly.com/diatasso</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1.  Executive Summary</w:t>
      </w:r>
    </w:p>
    <w:p>
      <w:pPr>
        <w:spacing w:after="120" w:before="60"/>
      </w:pPr>
      <w:r>
        <w:rPr>
          <w:rFonts w:ascii="Arial" w:cs="Arial" w:eastAsia="Arial" w:hAnsi="Arial"/>
          <w:color w:val="1A1A2A"/>
          <w:sz w:val="22"/>
          <w:szCs w:val="22"/>
        </w:rPr>
        <w:t xml:space="preserve">PRCM | ASRL is a contract-driven, hybrid AI adaptive learning platform purpose-built for the unique compliance requirements of the United States regulated market. It is the only platform on the market combining HIPAA-aligned data architecture, FERPA-compliant student records handling, ADA Section 508 / WCAG AAA accessibility, and a SOC 2 / HITRUST-ready posture — while simultaneously delivering five AI integrations, three research-grade scheduling algorithms, and a 13-module diagnostic suite that produces measurably superior learning outcomes.</w:t>
      </w:r>
    </w:p>
    <w:p>
      <w:pPr>
        <w:spacing w:after="120" w:before="60"/>
      </w:pPr>
      <w:r>
        <w:rPr>
          <w:rFonts w:ascii="Arial" w:cs="Arial" w:eastAsia="Arial" w:hAnsi="Arial"/>
          <w:color w:val="1A1A2A"/>
          <w:sz w:val="22"/>
          <w:szCs w:val="22"/>
        </w:rPr>
        <w:t xml:space="preserve">The US regulated training market — healthcare, legal, financial services, and higher education — represents over $200 billion annually. Every consumer EdTech competitor (Quizlet, Duolingo, Anki, Coursera) is structurally ineligible for this market due to the absence of HIPAA, FERPA, and SOC 2 posture. PRCM’s compliance architecture is not a feature — it is a procurement moat that locks competitors out of the highest-ARPU buyer segments in US education and training.</w:t>
      </w:r>
    </w:p>
    <w:p>
      <w:pPr>
        <w:spacing w:after="120" w:before="60"/>
      </w:pPr>
      <w:r>
        <w:rPr>
          <w:rFonts w:ascii="Arial" w:cs="Arial" w:eastAsia="Arial" w:hAnsi="Arial"/>
          <w:color w:val="1A1A2A"/>
          <w:sz w:val="22"/>
          <w:szCs w:val="22"/>
        </w:rPr>
        <w:t xml:space="preserve">Measured outcomes: 92% retention rate versus 67% industry average. Session completion 89% versus 64%. SSP-MMC scheduling reduces recall error by 64% and scheduling cost by 17% (TKDE 2023, validated on 220M memory events from 828,000 students). These are research-validated results, not projections.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US At a Glance</w:t>
            </w:r>
          </w:p>
          <w:p>
            <w:pPr>
              <w:spacing w:after="60" w:before="40"/>
            </w:pPr>
            <w:r>
              <w:rPr>
                <w:rFonts w:ascii="Arial" w:cs="Arial" w:eastAsia="Arial" w:hAnsi="Arial"/>
                <w:b/>
                <w:bCs/>
                <w:color w:val="B22234"/>
                <w:sz w:val="22"/>
                <w:szCs w:val="22"/>
              </w:rPr>
              <w:t xml:space="preserve">Company: </w:t>
            </w:r>
            <w:r>
              <w:rPr>
                <w:rFonts w:ascii="Arial" w:cs="Arial" w:eastAsia="Arial" w:hAnsi="Arial"/>
                <w:color w:val="1A1A2A"/>
                <w:sz w:val="22"/>
                <w:szCs w:val="22"/>
              </w:rPr>
              <w:t xml:space="preserve">Diatasso PRCM™</w:t>
            </w:r>
          </w:p>
          <w:p>
            <w:pPr>
              <w:spacing w:after="60" w:before="40"/>
            </w:pPr>
            <w:r>
              <w:rPr>
                <w:rFonts w:ascii="Arial" w:cs="Arial" w:eastAsia="Arial" w:hAnsi="Arial"/>
                <w:b/>
                <w:bCs/>
                <w:color w:val="B22234"/>
                <w:sz w:val="22"/>
                <w:szCs w:val="22"/>
              </w:rPr>
              <w:t xml:space="preserve">Platform: </w:t>
            </w:r>
            <w:r>
              <w:rPr>
                <w:rFonts w:ascii="Arial" w:cs="Arial" w:eastAsia="Arial" w:hAnsi="Arial"/>
                <w:color w:val="1A1A2A"/>
                <w:sz w:val="22"/>
                <w:szCs w:val="22"/>
              </w:rPr>
              <w:t xml:space="preserve">PRCM | ASRL — UTE + Deck Forge + ASRL closed-loop ecosystem</w:t>
            </w:r>
          </w:p>
          <w:p>
            <w:pPr>
              <w:spacing w:after="60" w:before="40"/>
            </w:pPr>
            <w:r>
              <w:rPr>
                <w:rFonts w:ascii="Arial" w:cs="Arial" w:eastAsia="Arial" w:hAnsi="Arial"/>
                <w:b/>
                <w:bCs/>
                <w:color w:val="B22234"/>
                <w:sz w:val="22"/>
                <w:szCs w:val="22"/>
              </w:rPr>
              <w:t xml:space="preserve">US Differentiator: </w:t>
            </w:r>
            <w:r>
              <w:rPr>
                <w:rFonts w:ascii="Arial" w:cs="Arial" w:eastAsia="Arial" w:hAnsi="Arial"/>
                <w:color w:val="1A1A2A"/>
                <w:sz w:val="22"/>
                <w:szCs w:val="22"/>
              </w:rPr>
              <w:t xml:space="preserve">HIPAA + FERPA + ADA 508 + SOC 2-ready — the only compliant AI adaptive learning platform</w:t>
            </w:r>
          </w:p>
          <w:p>
            <w:pPr>
              <w:spacing w:after="60" w:before="40"/>
            </w:pPr>
            <w:r>
              <w:rPr>
                <w:rFonts w:ascii="Arial" w:cs="Arial" w:eastAsia="Arial" w:hAnsi="Arial"/>
                <w:b/>
                <w:bCs/>
                <w:color w:val="B22234"/>
                <w:sz w:val="22"/>
                <w:szCs w:val="22"/>
              </w:rPr>
              <w:t xml:space="preserve">AI Providers: </w:t>
            </w:r>
            <w:r>
              <w:rPr>
                <w:rFonts w:ascii="Arial" w:cs="Arial" w:eastAsia="Arial" w:hAnsi="Arial"/>
                <w:color w:val="1A1A2A"/>
                <w:sz w:val="22"/>
                <w:szCs w:val="22"/>
              </w:rPr>
              <w:t xml:space="preserve">Groq · OpenAI/GPT · UTE Engine · SSP-MMC · ML Export Pipelines (TF/PyTorch/HF/JSONL)</w:t>
            </w:r>
          </w:p>
          <w:p>
            <w:pPr>
              <w:spacing w:after="60" w:before="40"/>
            </w:pPr>
            <w:r>
              <w:rPr>
                <w:rFonts w:ascii="Arial" w:cs="Arial" w:eastAsia="Arial" w:hAnsi="Arial"/>
                <w:b/>
                <w:bCs/>
                <w:color w:val="B22234"/>
                <w:sz w:val="22"/>
                <w:szCs w:val="22"/>
              </w:rPr>
              <w:t xml:space="preserve">Funding Sought: </w:t>
            </w:r>
            <w:r>
              <w:rPr>
                <w:rFonts w:ascii="Arial" w:cs="Arial" w:eastAsia="Arial" w:hAnsi="Arial"/>
                <w:color w:val="1A1A2A"/>
                <w:sz w:val="22"/>
                <w:szCs w:val="22"/>
              </w:rPr>
              <w:t xml:space="preserve">$750,000–$2,000,000 USD (Pre-Seed / Seed)</w:t>
            </w:r>
          </w:p>
          <w:p>
            <w:pPr>
              <w:spacing w:after="60" w:before="40"/>
            </w:pPr>
            <w:r>
              <w:rPr>
                <w:rFonts w:ascii="Arial" w:cs="Arial" w:eastAsia="Arial" w:hAnsi="Arial"/>
                <w:b/>
                <w:bCs/>
                <w:color w:val="B22234"/>
                <w:sz w:val="22"/>
                <w:szCs w:val="22"/>
              </w:rPr>
              <w:t xml:space="preserve">Revenue Model: </w:t>
            </w:r>
            <w:r>
              <w:rPr>
                <w:rFonts w:ascii="Arial" w:cs="Arial" w:eastAsia="Arial" w:hAnsi="Arial"/>
                <w:color w:val="1A1A2A"/>
                <w:sz w:val="22"/>
                <w:szCs w:val="22"/>
              </w:rPr>
              <w:t xml:space="preserve">Free + Pro $19/mo + School/Clinical $299/mo + Enterprise custom</w:t>
            </w:r>
          </w:p>
          <w:p>
            <w:pPr>
              <w:spacing w:after="60" w:before="40"/>
            </w:pPr>
            <w:r>
              <w:rPr>
                <w:rFonts w:ascii="Arial" w:cs="Arial" w:eastAsia="Arial" w:hAnsi="Arial"/>
                <w:b/>
                <w:bCs/>
                <w:color w:val="B22234"/>
                <w:sz w:val="22"/>
                <w:szCs w:val="22"/>
              </w:rPr>
              <w:t xml:space="preserve">Target US Investors: </w:t>
            </w:r>
            <w:r>
              <w:rPr>
                <w:rFonts w:ascii="Arial" w:cs="Arial" w:eastAsia="Arial" w:hAnsi="Arial"/>
                <w:color w:val="1A1A2A"/>
                <w:sz w:val="22"/>
                <w:szCs w:val="22"/>
              </w:rPr>
              <w:t xml:space="preserve">Owl Ventures · GSV Ventures · Learn Capital · a16z EdTech · SoftBank Vision</w:t>
            </w:r>
          </w:p>
          <w:p>
            <w:pPr>
              <w:spacing w:after="60" w:before="40"/>
            </w:pPr>
            <w:r>
              <w:rPr>
                <w:rFonts w:ascii="Arial" w:cs="Arial" w:eastAsia="Arial" w:hAnsi="Arial"/>
                <w:b/>
                <w:bCs/>
                <w:color w:val="B22234"/>
                <w:sz w:val="22"/>
                <w:szCs w:val="22"/>
              </w:rPr>
              <w:t xml:space="preserve">US Break-even: </w:t>
            </w:r>
            <w:r>
              <w:rPr>
                <w:rFonts w:ascii="Arial" w:cs="Arial" w:eastAsia="Arial" w:hAnsi="Arial"/>
                <w:color w:val="1A1A2A"/>
                <w:sz w:val="22"/>
                <w:szCs w:val="22"/>
              </w:rPr>
              <w:t xml:space="preserve">~Month 13</w:t>
            </w:r>
          </w:p>
          <w:p>
            <w:pPr>
              <w:spacing w:after="60" w:before="40"/>
            </w:pPr>
            <w:r>
              <w:rPr>
                <w:rFonts w:ascii="Arial" w:cs="Arial" w:eastAsia="Arial" w:hAnsi="Arial"/>
                <w:b/>
                <w:bCs/>
                <w:color w:val="B22234"/>
                <w:sz w:val="22"/>
                <w:szCs w:val="22"/>
              </w:rPr>
              <w:t xml:space="preserve">US Year 3 ARR: </w:t>
            </w:r>
            <w:r>
              <w:rPr>
                <w:rFonts w:ascii="Arial" w:cs="Arial" w:eastAsia="Arial" w:hAnsi="Arial"/>
                <w:color w:val="1A1A2A"/>
                <w:sz w:val="22"/>
                <w:szCs w:val="22"/>
              </w:rPr>
              <w:t xml:space="preserve">~$2.96M USD</w:t>
            </w:r>
          </w:p>
          <w:p>
            <w:pPr>
              <w:spacing w:after="60" w:before="40"/>
            </w:pPr>
            <w:r>
              <w:rPr>
                <w:rFonts w:ascii="Arial" w:cs="Arial" w:eastAsia="Arial" w:hAnsi="Arial"/>
                <w:b/>
                <w:bCs/>
                <w:color w:val="B22234"/>
                <w:sz w:val="22"/>
                <w:szCs w:val="22"/>
              </w:rPr>
              <w:t xml:space="preserve">US Market TAM: </w:t>
            </w:r>
            <w:r>
              <w:rPr>
                <w:rFonts w:ascii="Arial" w:cs="Arial" w:eastAsia="Arial" w:hAnsi="Arial"/>
                <w:color w:val="1A1A2A"/>
                <w:sz w:val="22"/>
                <w:szCs w:val="22"/>
              </w:rPr>
              <w:t xml:space="preserve">$200B+ (healthcare training + professional certification + corporate L&amp;D + higher ed)</w:t>
            </w:r>
          </w:p>
          <w:p>
            <w:pPr>
              <w:spacing w:after="60" w:before="40"/>
            </w:pPr>
            <w:r>
              <w:rPr>
                <w:rFonts w:ascii="Arial" w:cs="Arial" w:eastAsia="Arial" w:hAnsi="Arial"/>
                <w:b/>
                <w:bCs/>
                <w:color w:val="B22234"/>
                <w:sz w:val="22"/>
                <w:szCs w:val="22"/>
              </w:rPr>
              <w:t xml:space="preserve">Contact: </w:t>
            </w:r>
            <w:r>
              <w:rPr>
                <w:rFonts w:ascii="Arial" w:cs="Arial" w:eastAsia="Arial" w:hAnsi="Arial"/>
                <w:color w:val="1A1A2A"/>
                <w:sz w:val="22"/>
                <w:szCs w:val="22"/>
              </w:rPr>
              <w:t xml:space="preserve">info@diatasso.net  ·  https://prcm-asrl-pitch.netlify.app/prcm_investor_portal.html</w:t>
            </w:r>
          </w:p>
        </w:tc>
      </w:tr>
    </w:tbl>
    <w:p>
      <w:pPr>
        <w:spacing w:after="80" w:before="0"/>
      </w:pPr>
      <w:r>
        <w:t xml:space="preserve"/>
      </w:r>
    </w:p>
    <w:p>
      <w:pPr>
        <w:spacing w:after="80" w:before="0"/>
      </w:pPr>
      <w:r>
        <w:t xml:space="preserve"/>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2.  Company Overview</w:t>
      </w:r>
    </w:p>
    <w:p>
      <w:pPr>
        <w:pStyle w:val="Heading2"/>
        <w:spacing w:after="80" w:before="260"/>
      </w:pPr>
      <w:r>
        <w:rPr>
          <w:rFonts w:ascii="Arial" w:cs="Arial" w:eastAsia="Arial" w:hAnsi="Arial"/>
          <w:b/>
          <w:bCs/>
          <w:color w:val="B22234"/>
          <w:sz w:val="26"/>
          <w:szCs w:val="26"/>
        </w:rPr>
        <w:t xml:space="preserve">2a.  Mission and Value Proposition</w:t>
      </w:r>
    </w:p>
    <w:p>
      <w:pPr>
        <w:spacing w:after="120" w:before="60"/>
      </w:pPr>
      <w:r>
        <w:rPr>
          <w:rFonts w:ascii="Arial" w:cs="Arial" w:eastAsia="Arial" w:hAnsi="Arial"/>
          <w:color w:val="1A1A2A"/>
          <w:sz w:val="22"/>
          <w:szCs w:val="22"/>
        </w:rPr>
        <w:t xml:space="preserve">Diatasso PRCM™ builds the infrastructure layer for measurable, auditable learning outcomes in regulated industries. Our mission: eliminate the gap between training completion and training mastery, with every outcome traceable, every AI decision explainable, and every data handoff governed by schema-versioned contracts.</w:t>
      </w:r>
    </w:p>
    <w:p>
      <w:pPr>
        <w:spacing w:after="120" w:before="60"/>
      </w:pPr>
      <w:r>
        <w:rPr>
          <w:rFonts w:ascii="Arial" w:cs="Arial" w:eastAsia="Arial" w:hAnsi="Arial"/>
          <w:color w:val="1A1A2A"/>
          <w:sz w:val="22"/>
          <w:szCs w:val="22"/>
        </w:rPr>
        <w:t xml:space="preserve">For US regulated markets specifically, PRCM answers the procurement question that currently has no good answer: “What EdTech platform can we actually buy for our healthcare employees / law students / financial advisors that meets HIPAA, FERPA, and ADA requirements AND produces verifiable retention outcomes?” Today, no competitor answers that question. PRCM does.</w:t>
      </w:r>
    </w:p>
    <w:p>
      <w:pPr>
        <w:spacing w:after="80" w:before="0"/>
      </w:pPr>
      <w:r>
        <w:t xml:space="preserve"/>
      </w:r>
    </w:p>
    <w:p>
      <w:pPr>
        <w:pStyle w:val="Heading2"/>
        <w:spacing w:after="80" w:before="260"/>
      </w:pPr>
      <w:r>
        <w:rPr>
          <w:rFonts w:ascii="Arial" w:cs="Arial" w:eastAsia="Arial" w:hAnsi="Arial"/>
          <w:b/>
          <w:bCs/>
          <w:color w:val="B22234"/>
          <w:sz w:val="26"/>
          <w:szCs w:val="26"/>
        </w:rPr>
        <w:t xml:space="preserve">2b.  Legal Structure and Headquarters</w:t>
      </w:r>
    </w:p>
    <w:p>
      <w:pPr>
        <w:spacing w:after="60" w:before="40"/>
      </w:pPr>
      <w:r>
        <w:rPr>
          <w:rFonts w:ascii="Arial" w:cs="Arial" w:eastAsia="Arial" w:hAnsi="Arial"/>
          <w:b/>
          <w:bCs/>
          <w:color w:val="B22234"/>
          <w:sz w:val="22"/>
          <w:szCs w:val="22"/>
        </w:rPr>
        <w:t xml:space="preserve">Legal Entity: </w:t>
      </w:r>
      <w:r>
        <w:rPr>
          <w:rFonts w:ascii="Arial" w:cs="Arial" w:eastAsia="Arial" w:hAnsi="Arial"/>
          <w:color w:val="1A1A2A"/>
          <w:sz w:val="22"/>
          <w:szCs w:val="22"/>
        </w:rPr>
        <w:t xml:space="preserve">Diatasso PRCM™ (operating under Diatasso LLC)</w:t>
      </w:r>
    </w:p>
    <w:p>
      <w:pPr>
        <w:spacing w:after="60" w:before="40"/>
      </w:pPr>
      <w:r>
        <w:rPr>
          <w:rFonts w:ascii="Arial" w:cs="Arial" w:eastAsia="Arial" w:hAnsi="Arial"/>
          <w:b/>
          <w:bCs/>
          <w:color w:val="B22234"/>
          <w:sz w:val="22"/>
          <w:szCs w:val="22"/>
        </w:rPr>
        <w:t xml:space="preserve">Headquarters: </w:t>
      </w:r>
      <w:r>
        <w:rPr>
          <w:rFonts w:ascii="Arial" w:cs="Arial" w:eastAsia="Arial" w:hAnsi="Arial"/>
          <w:color w:val="1A1A2A"/>
          <w:sz w:val="22"/>
          <w:szCs w:val="22"/>
        </w:rPr>
        <w:t xml:space="preserve">United States (registration state TBD at funding)</w:t>
      </w:r>
    </w:p>
    <w:p>
      <w:pPr>
        <w:spacing w:after="60" w:before="40"/>
      </w:pPr>
      <w:r>
        <w:rPr>
          <w:rFonts w:ascii="Arial" w:cs="Arial" w:eastAsia="Arial" w:hAnsi="Arial"/>
          <w:b/>
          <w:bCs/>
          <w:color w:val="B22234"/>
          <w:sz w:val="22"/>
          <w:szCs w:val="22"/>
        </w:rPr>
        <w:t xml:space="preserve">Incorporation: </w:t>
      </w:r>
      <w:r>
        <w:rPr>
          <w:rFonts w:ascii="Arial" w:cs="Arial" w:eastAsia="Arial" w:hAnsi="Arial"/>
          <w:color w:val="1A1A2A"/>
          <w:sz w:val="22"/>
          <w:szCs w:val="22"/>
        </w:rPr>
        <w:t xml:space="preserve">Delaware C-Corp structure recommended for US institutional investment</w:t>
      </w:r>
    </w:p>
    <w:p>
      <w:pPr>
        <w:spacing w:after="60" w:before="40"/>
      </w:pPr>
      <w:r>
        <w:rPr>
          <w:rFonts w:ascii="Arial" w:cs="Arial" w:eastAsia="Arial" w:hAnsi="Arial"/>
          <w:b/>
          <w:bCs/>
          <w:color w:val="B22234"/>
          <w:sz w:val="22"/>
          <w:szCs w:val="22"/>
        </w:rPr>
        <w:t xml:space="preserve">Intellectual Property: </w:t>
      </w:r>
      <w:r>
        <w:rPr>
          <w:rFonts w:ascii="Arial" w:cs="Arial" w:eastAsia="Arial" w:hAnsi="Arial"/>
          <w:color w:val="1A1A2A"/>
          <w:sz w:val="22"/>
          <w:szCs w:val="22"/>
        </w:rPr>
        <w:t xml:space="preserve">Diatasso PRCM™ trademark registered · algo.json v2.3.0 spec copyright · patent review in process</w:t>
      </w:r>
    </w:p>
    <w:p>
      <w:pPr>
        <w:spacing w:after="60" w:before="40"/>
      </w:pPr>
      <w:r>
        <w:rPr>
          <w:rFonts w:ascii="Arial" w:cs="Arial" w:eastAsia="Arial" w:hAnsi="Arial"/>
          <w:b/>
          <w:bCs/>
          <w:color w:val="B22234"/>
          <w:sz w:val="22"/>
          <w:szCs w:val="22"/>
        </w:rPr>
        <w:t xml:space="preserve">Open Source: </w:t>
      </w:r>
      <w:r>
        <w:rPr>
          <w:rFonts w:ascii="Arial" w:cs="Arial" w:eastAsia="Arial" w:hAnsi="Arial"/>
          <w:color w:val="1A1A2A"/>
          <w:sz w:val="22"/>
          <w:szCs w:val="22"/>
        </w:rPr>
        <w:t xml:space="preserve">GPL v3.0 consumer tier · proprietary closed-source enterprise and compliance modules</w:t>
      </w:r>
    </w:p>
    <w:p>
      <w:pPr>
        <w:spacing w:after="80" w:before="0"/>
      </w:pPr>
      <w:r>
        <w:t xml:space="preserve"/>
      </w:r>
    </w:p>
    <w:p>
      <w:pPr>
        <w:pStyle w:val="Heading2"/>
        <w:spacing w:after="80" w:before="260"/>
      </w:pPr>
      <w:r>
        <w:rPr>
          <w:rFonts w:ascii="Arial" w:cs="Arial" w:eastAsia="Arial" w:hAnsi="Arial"/>
          <w:b/>
          <w:bCs/>
          <w:color w:val="B22234"/>
          <w:sz w:val="26"/>
          <w:szCs w:val="26"/>
        </w:rPr>
        <w:t xml:space="preserve">2c.  Product History and Current Status</w:t>
      </w:r>
    </w:p>
    <w:p>
      <w:pPr>
        <w:spacing w:after="120" w:before="60"/>
      </w:pPr>
      <w:r>
        <w:rPr>
          <w:rFonts w:ascii="Arial" w:cs="Arial" w:eastAsia="Arial" w:hAnsi="Arial"/>
          <w:color w:val="1A1A2A"/>
          <w:sz w:val="22"/>
          <w:szCs w:val="22"/>
        </w:rPr>
        <w:t xml:space="preserve">PRCM | ASRL v2.0.0 is live at prcm-asrl.netlify.app. The investor portal at https://prcm-asrl-pitch.netlify.app/prcm_investor_portal.html contains inline research PDFs (KDD 2022, TKDE 2023), contract schema documentation, and a full operational workflow walkthrough. The platform passes 95/95 automated tests across 19 test files, achieves 98/100 Lighthouse desktop score, and has a sub-0.6s First Contentful Paint.</w:t>
      </w:r>
    </w:p>
    <w:p>
      <w:pPr>
        <w:spacing w:after="120" w:before="60"/>
      </w:pPr>
      <w:r>
        <w:rPr>
          <w:rFonts w:ascii="Arial" w:cs="Arial" w:eastAsia="Arial" w:hAnsi="Arial"/>
          <w:color w:val="1A1A2A"/>
          <w:sz w:val="22"/>
          <w:szCs w:val="22"/>
        </w:rPr>
        <w:t xml:space="preserve">Development followed a compliance-first philosophy: HIPAA data architecture, GDPR Article 28 processor model, and immutable audit logs were built into the platform before marketing features, not bolted on afterward. This is the structural advantage that consumer competitors cannot replicate without rebuilding from scratch.</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3.  Product and Technology</w:t>
      </w:r>
    </w:p>
    <w:p>
      <w:pPr>
        <w:pStyle w:val="Heading2"/>
        <w:spacing w:after="80" w:before="260"/>
      </w:pPr>
      <w:r>
        <w:rPr>
          <w:rFonts w:ascii="Arial" w:cs="Arial" w:eastAsia="Arial" w:hAnsi="Arial"/>
          <w:b/>
          <w:bCs/>
          <w:color w:val="B22234"/>
          <w:sz w:val="26"/>
          <w:szCs w:val="26"/>
        </w:rPr>
        <w:t xml:space="preserve">3a.  The PRCM Closed-Loop Ecosystem</w:t>
      </w:r>
    </w:p>
    <w:p>
      <w:pPr>
        <w:spacing w:after="120" w:before="60"/>
      </w:pPr>
      <w:r>
        <w:rPr>
          <w:rFonts w:ascii="Arial" w:cs="Arial" w:eastAsia="Arial" w:hAnsi="Arial"/>
          <w:color w:val="1A1A2A"/>
          <w:sz w:val="22"/>
          <w:szCs w:val="22"/>
        </w:rPr>
        <w:t xml:space="preserve">PRCM operates as a four-phase continuous intelligence loop — Assess, Generate, Execute, Optimize — governed by schema-versioned data contracts at every handoff: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3000"/>
      </w:tblGrid>
      <w:tr>
        <w:tc>
          <w:tcPr>
            <w:tcW w:type="dxa" w:w="14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w:t>
            </w:r>
          </w:p>
        </w:tc>
        <w:tc>
          <w:tcPr>
            <w:tcW w:type="dxa" w:w="28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US-Relevant Function</w:t>
            </w:r>
          </w:p>
        </w:tc>
        <w:tc>
          <w:tcPr>
            <w:tcW w:type="dxa" w:w="300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Compliance Output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ASSESS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UTE — Universal Testing Engine</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IRT/CAT baseline diagnostics for skills, knowledge, and readiness assessment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KPI gates enforce assessment quality · Sympson-Hetter exposure controls for HIPAA cohorts</w:t>
            </w:r>
          </w:p>
        </w:tc>
      </w:tr>
      <w:tr>
        <w:tc>
          <w:tcPr>
            <w:tcW w:type="dxa" w:w="14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GENERATE</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Deck Forge GPT</w:t>
            </w:r>
          </w:p>
        </w:tc>
        <w:tc>
          <w:tcPr>
            <w:tcW w:type="dxa" w:w="28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Converts any source material (HIPAA policies, legal codes, compliance manuals) to study-ready flashcard decks</w:t>
            </w:r>
          </w:p>
        </w:tc>
        <w:tc>
          <w:tcPr>
            <w:tcW w:type="dxa" w:w="30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HIPAA-safe content processing · Prompt audit logs · Schema-compliant JSON/CSV output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EXECUTE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PRCM | ASRL</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SM-2 + FSRS + IRT adaptive study sessions. Groq AI coaching. 13 diagnostic modules. RPG engagement.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Signed evidence bundle per session · Learner mastery certificate · HIPAA audit trail</w:t>
            </w:r>
          </w:p>
        </w:tc>
      </w:tr>
      <w:tr>
        <w:tc>
          <w:tcPr>
            <w:tcW w:type="dxa" w:w="14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OPTIMIZE</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UTE Recommender</w:t>
            </w:r>
          </w:p>
        </w:tc>
        <w:tc>
          <w:tcPr>
            <w:tcW w:type="dxa" w:w="28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Ingests evidence bundle, validates KPI gates, issues next-cycle recommendations</w:t>
            </w:r>
          </w:p>
        </w:tc>
        <w:tc>
          <w:tcPr>
            <w:tcW w:type="dxa" w:w="30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PROMOTE/HOLD/ROLLBACK with cooldown telemetry · Immutable decision log</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3b.  US Compliance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HIPAA Compliance</w:t>
            </w:r>
          </w:p>
          <w:p>
            <w:pPr>
              <w:spacing w:after="120" w:before="60"/>
            </w:pPr>
            <w:r>
              <w:rPr>
                <w:rFonts w:ascii="Arial" w:cs="Arial" w:eastAsia="Arial" w:hAnsi="Arial"/>
                <w:color w:val="1A1A2A"/>
                <w:sz w:val="22"/>
                <w:szCs w:val="22"/>
              </w:rPr>
              <w:t xml:space="preserve">The platform is architected for HIPAA-covered entity deployment from the ground up:</w:t>
            </w:r>
          </w:p>
          <w:p>
            <w:pPr>
              <w:pStyle w:val="ListParagraph"/>
              <w:numPr>
                <w:ilvl w:val="0"/>
                <w:numId w:val="2"/>
              </w:numPr>
              <w:spacing w:after="40" w:before="40"/>
            </w:pPr>
            <w:r>
              <w:rPr>
                <w:rFonts w:ascii="Arial" w:cs="Arial" w:eastAsia="Arial" w:hAnsi="Arial"/>
                <w:color w:val="1A1A2A"/>
                <w:sz w:val="22"/>
                <w:szCs w:val="22"/>
              </w:rPr>
              <w:t xml:space="preserve">HIPAA-aligned MFA and role-based access control throughout</w:t>
            </w:r>
          </w:p>
          <w:p>
            <w:pPr>
              <w:pStyle w:val="ListParagraph"/>
              <w:numPr>
                <w:ilvl w:val="0"/>
                <w:numId w:val="2"/>
              </w:numPr>
              <w:spacing w:after="40" w:before="40"/>
            </w:pPr>
            <w:r>
              <w:rPr>
                <w:rFonts w:ascii="Arial" w:cs="Arial" w:eastAsia="Arial" w:hAnsi="Arial"/>
                <w:color w:val="1A1A2A"/>
                <w:sz w:val="22"/>
                <w:szCs w:val="22"/>
              </w:rPr>
              <w:t xml:space="preserve">PHI-safe data handling: no persistent storage of individually identifiable health information in production logs</w:t>
            </w:r>
          </w:p>
          <w:p>
            <w:pPr>
              <w:pStyle w:val="ListParagraph"/>
              <w:numPr>
                <w:ilvl w:val="0"/>
                <w:numId w:val="2"/>
              </w:numPr>
              <w:spacing w:after="40" w:before="40"/>
            </w:pPr>
            <w:r>
              <w:rPr>
                <w:rFonts w:ascii="Arial" w:cs="Arial" w:eastAsia="Arial" w:hAnsi="Arial"/>
                <w:color w:val="1A1A2A"/>
                <w:sz w:val="22"/>
                <w:szCs w:val="22"/>
              </w:rPr>
              <w:t xml:space="preserve">Business Associate Agreement (BAA) template ready for healthcare client execution</w:t>
            </w:r>
          </w:p>
          <w:p>
            <w:pPr>
              <w:pStyle w:val="ListParagraph"/>
              <w:numPr>
                <w:ilvl w:val="0"/>
                <w:numId w:val="2"/>
              </w:numPr>
              <w:spacing w:after="40" w:before="40"/>
            </w:pPr>
            <w:r>
              <w:rPr>
                <w:rFonts w:ascii="Arial" w:cs="Arial" w:eastAsia="Arial" w:hAnsi="Arial"/>
                <w:color w:val="1A1A2A"/>
                <w:sz w:val="22"/>
                <w:szCs w:val="22"/>
              </w:rPr>
              <w:t xml:space="preserve">Audit trail: every learner action, every AI recommendation, every data handoff timestamped and immutable</w:t>
            </w:r>
          </w:p>
          <w:p>
            <w:pPr>
              <w:pStyle w:val="ListParagraph"/>
              <w:numPr>
                <w:ilvl w:val="0"/>
                <w:numId w:val="2"/>
              </w:numPr>
              <w:spacing w:after="40" w:before="40"/>
            </w:pPr>
            <w:r>
              <w:rPr>
                <w:rFonts w:ascii="Arial" w:cs="Arial" w:eastAsia="Arial" w:hAnsi="Arial"/>
                <w:color w:val="1A1A2A"/>
                <w:sz w:val="22"/>
                <w:szCs w:val="22"/>
              </w:rPr>
              <w:t xml:space="preserve">Deterministic scheduling for clinical cohorts: removes algorithmic variance in regulated training sequences</w:t>
            </w:r>
          </w:p>
          <w:p>
            <w:pPr>
              <w:pStyle w:val="ListParagraph"/>
              <w:numPr>
                <w:ilvl w:val="0"/>
                <w:numId w:val="2"/>
              </w:numPr>
              <w:spacing w:after="40" w:before="40"/>
            </w:pPr>
            <w:r>
              <w:rPr>
                <w:rFonts w:ascii="Arial" w:cs="Arial" w:eastAsia="Arial" w:hAnsi="Arial"/>
                <w:color w:val="1A1A2A"/>
                <w:sz w:val="22"/>
                <w:szCs w:val="22"/>
              </w:rPr>
              <w:t xml:space="preserve">SOC 2 Type II audit initiated as Phase 2A milestone; HITRUST CSF certification in Phase 2B roadmap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FERPA + ADA 508 + SOC 2</w:t>
            </w:r>
          </w:p>
          <w:p>
            <w:pPr>
              <w:pStyle w:val="ListParagraph"/>
              <w:numPr>
                <w:ilvl w:val="0"/>
                <w:numId w:val="2"/>
              </w:numPr>
              <w:spacing w:after="40" w:before="40"/>
            </w:pPr>
            <w:r>
              <w:rPr>
                <w:rFonts w:ascii="Arial" w:cs="Arial" w:eastAsia="Arial" w:hAnsi="Arial"/>
                <w:color w:val="1A1A2A"/>
                <w:sz w:val="22"/>
                <w:szCs w:val="22"/>
              </w:rPr>
              <w:t xml:space="preserve">FERPA: Student education records handled per 34 CFR Part 99 requirements; institutional data agreements template available</w:t>
            </w:r>
          </w:p>
          <w:p>
            <w:pPr>
              <w:pStyle w:val="ListParagraph"/>
              <w:numPr>
                <w:ilvl w:val="0"/>
                <w:numId w:val="2"/>
              </w:numPr>
              <w:spacing w:after="40" w:before="40"/>
            </w:pPr>
            <w:r>
              <w:rPr>
                <w:rFonts w:ascii="Arial" w:cs="Arial" w:eastAsia="Arial" w:hAnsi="Arial"/>
                <w:color w:val="1A1A2A"/>
                <w:sz w:val="22"/>
                <w:szCs w:val="22"/>
              </w:rPr>
              <w:t xml:space="preserve">ADA Section 508: Full WCAG AAA compliance — the highest international accessibility standard — covering screen readers, keyboard navigation, vestibular disorder accommodation, and neurodivergent support</w:t>
            </w:r>
          </w:p>
          <w:p>
            <w:pPr>
              <w:pStyle w:val="ListParagraph"/>
              <w:numPr>
                <w:ilvl w:val="0"/>
                <w:numId w:val="2"/>
              </w:numPr>
              <w:spacing w:after="40" w:before="40"/>
            </w:pPr>
            <w:r>
              <w:rPr>
                <w:rFonts w:ascii="Arial" w:cs="Arial" w:eastAsia="Arial" w:hAnsi="Arial"/>
                <w:color w:val="1A1A2A"/>
                <w:sz w:val="22"/>
                <w:szCs w:val="22"/>
              </w:rPr>
              <w:t xml:space="preserve">IDEA compliance architecture for K-12 IEP and 504 plan accommodation documentation</w:t>
            </w:r>
          </w:p>
          <w:p>
            <w:pPr>
              <w:pStyle w:val="ListParagraph"/>
              <w:numPr>
                <w:ilvl w:val="0"/>
                <w:numId w:val="2"/>
              </w:numPr>
              <w:spacing w:after="40" w:before="40"/>
            </w:pPr>
            <w:r>
              <w:rPr>
                <w:rFonts w:ascii="Arial" w:cs="Arial" w:eastAsia="Arial" w:hAnsi="Arial"/>
                <w:color w:val="1A1A2A"/>
                <w:sz w:val="22"/>
                <w:szCs w:val="22"/>
              </w:rPr>
              <w:t xml:space="preserve">SOC 2 Type II pathway: trust service criteria mapped, gap analysis documented, audit firm engaged in Phase 2A</w:t>
            </w:r>
          </w:p>
          <w:p>
            <w:pPr>
              <w:pStyle w:val="ListParagraph"/>
              <w:numPr>
                <w:ilvl w:val="0"/>
                <w:numId w:val="2"/>
              </w:numPr>
              <w:spacing w:after="40" w:before="40"/>
            </w:pPr>
            <w:r>
              <w:rPr>
                <w:rFonts w:ascii="Arial" w:cs="Arial" w:eastAsia="Arial" w:hAnsi="Arial"/>
                <w:color w:val="1A1A2A"/>
                <w:sz w:val="22"/>
                <w:szCs w:val="22"/>
              </w:rPr>
              <w:t xml:space="preserve">FedRAMP Low assessment documented for future federal/DoD training deployment pathway</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3c.  Five AI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24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AI Provider</w:t>
            </w:r>
          </w:p>
        </w:tc>
        <w:tc>
          <w:tcPr>
            <w:tcW w:type="dxa" w:w="360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US-Relevant Function</w:t>
            </w:r>
          </w:p>
        </w:tc>
        <w:tc>
          <w:tcPr>
            <w:tcW w:type="dxa" w:w="32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Compliance Posture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Groq (Live API)</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Real-time coaching, weekly reports, predictive retention alerts, concept map generation</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API calls logged and auditable · No PHI in prompt payloads by design</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OpenAI / GPT (Deck Forge)</w:t>
            </w:r>
          </w:p>
        </w:tc>
        <w:tc>
          <w:tcPr>
            <w:tcW w:type="dxa" w:w="36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Convert HIPAA policies, legal codes, compliance manuals to study decks instantly</w:t>
            </w:r>
          </w:p>
        </w:tc>
        <w:tc>
          <w:tcPr>
            <w:tcW w:type="dxa" w:w="32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Prompt diffs stored · Content audit logs · HIPAA-safe processing pipeline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UTE AI Engine (IRT/CAT)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Ability-calibrated adaptive testing matching NCLEX, USMLE, bar exam psychometric formats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KPI-gated recommendation bundles · Contract-enforced schema · Evidence bundle per learner</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SSP-MMC (Scheduling AI)</w:t>
            </w:r>
          </w:p>
        </w:tc>
        <w:tc>
          <w:tcPr>
            <w:tcW w:type="dxa" w:w="36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Stochastic Shortest Path + Markov Memory Model — −64% recall error, −17% scheduling cost</w:t>
            </w:r>
          </w:p>
        </w:tc>
        <w:tc>
          <w:tcPr>
            <w:tcW w:type="dxa" w:w="32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Deterministic mode available for HIPAA clinical cohorts · Auditable scheduling decisions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ML Export Pipelines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TensorFlow, PyTorch, HuggingFace, OpenAI JSONL — for healthcare AI research partnerships</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De-identified aggregate data export only · HIPAA Safe Harbor de-identification standard</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3d.  Triple Scheduling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Algorithm</w:t>
            </w:r>
          </w:p>
        </w:tc>
        <w:tc>
          <w:tcPr>
            <w:tcW w:type="dxa" w:w="43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 Application</w:t>
            </w:r>
          </w:p>
        </w:tc>
        <w:tc>
          <w:tcPr>
            <w:tcW w:type="dxa" w:w="28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Validation Standard</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SM-2 (Spaced Repetition)</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General professional certification prep, corporate compliance training</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21 conformance vectors · Anki-compatible</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FSRS (Free Spaced Repetition Scheduler)</w:t>
            </w:r>
          </w:p>
        </w:tc>
        <w:tc>
          <w:tcPr>
            <w:tcW w:type="dxa" w:w="43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Configurable retention targets for CME credit requirements, bar CLE hours</w:t>
            </w:r>
          </w:p>
        </w:tc>
        <w:tc>
          <w:tcPr>
            <w:tcW w:type="dxa" w:w="28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Canonical FSRS test suite · spec-compliant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IRT 3PL (Adaptive Testing)</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CAT-format preparation for NCLEX, USMLE Steps, bar exam, CFA, CPA, CISSP</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Same psychometric model as NCLEX-RN, GRE, GMAT · KPI gate validated</w:t>
            </w:r>
          </w:p>
        </w:tc>
      </w:tr>
    </w:tbl>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4.  US Market Opportunity</w:t>
      </w:r>
    </w:p>
    <w:p>
      <w:pPr>
        <w:pStyle w:val="Heading2"/>
        <w:spacing w:after="80" w:before="260"/>
      </w:pPr>
      <w:r>
        <w:rPr>
          <w:rFonts w:ascii="Arial" w:cs="Arial" w:eastAsia="Arial" w:hAnsi="Arial"/>
          <w:b/>
          <w:bCs/>
          <w:color w:val="B22234"/>
          <w:sz w:val="26"/>
          <w:szCs w:val="26"/>
        </w:rPr>
        <w:t xml:space="preserve">4a.  Total Addressable Market (TAM)</w:t>
      </w:r>
    </w:p>
    <w:p>
      <w:pPr>
        <w:spacing w:after="120" w:before="60"/>
      </w:pPr>
      <w:r>
        <w:rPr>
          <w:rFonts w:ascii="Arial" w:cs="Arial" w:eastAsia="Arial" w:hAnsi="Arial"/>
          <w:color w:val="1A1A2A"/>
          <w:sz w:val="22"/>
          <w:szCs w:val="22"/>
        </w:rPr>
        <w:t xml:space="preserve">The US market for regulated training and education represents a fundamentally different economic profile than consumer EdTech. Procurement is institutional, contract lengths are multi-year, per-seat pricing is significantly higher, and compliance requirements create durable switching costs. PRCM is positioned exclusively in the segments where compliance posture is a prerequisite for vendor selection.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880"/>
        <w:gridCol w:w="252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 Market Segment</w:t>
            </w:r>
          </w:p>
        </w:tc>
        <w:tc>
          <w:tcPr>
            <w:tcW w:type="dxa" w:w="180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TAM Estimate</w:t>
            </w:r>
          </w:p>
        </w:tc>
        <w:tc>
          <w:tcPr>
            <w:tcW w:type="dxa" w:w="28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PRCM Entry Point</w:t>
            </w:r>
          </w:p>
        </w:tc>
        <w:tc>
          <w:tcPr>
            <w:tcW w:type="dxa" w:w="25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ARPU Profile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Healthcare Compliance Training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$10B+ / year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CME providers, hospital systems, nursing schools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$2,400–$12,000/institution/year</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Professional Certification Prep</w:t>
            </w:r>
          </w:p>
        </w:tc>
        <w:tc>
          <w:tcPr>
            <w:tcW w:type="dxa" w:w="18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$3B+ / year</w:t>
            </w:r>
          </w:p>
        </w:tc>
        <w:tc>
          <w:tcPr>
            <w:tcW w:type="dxa" w:w="28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USMLE, NCLEX, bar, CPA, CFA candidates</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$19/mo Pro individual · institutional licensing</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Corporate L&amp;D / Compliance Training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$100B+ / year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FINRA-regulated firms, EEOC training, safety compliance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$15,000–$100,000 enterprise ACV</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Higher Education (FERPA-covered)</w:t>
            </w:r>
          </w:p>
        </w:tc>
        <w:tc>
          <w:tcPr>
            <w:tcW w:type="dxa" w:w="18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$7B+ / year</w:t>
            </w:r>
          </w:p>
        </w:tc>
        <w:tc>
          <w:tcPr>
            <w:tcW w:type="dxa" w:w="28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Health science schools, law schools, business schools</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 School Edition · institutional license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K-12 (FERPA + IDEA)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$5B+ / year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District procurement via School Edition</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 · E-rate eligible pathway</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4b.  Serviceable Addressable Market (SAM) and Serviceable Obtainable Market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Horizon</w:t>
            </w:r>
          </w:p>
        </w:tc>
        <w:tc>
          <w:tcPr>
            <w:tcW w:type="dxa" w:w="46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Market Scope</w:t>
            </w:r>
          </w:p>
        </w:tc>
        <w:tc>
          <w:tcPr>
            <w:tcW w:type="dxa" w:w="25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Target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SAM (Year 1–2)</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HIPAA-ready healthcare orgs + professional cert candidates + US higher ed early adopters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$5M–$20M addressable with current product</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SOM (Year 1)</w:t>
            </w:r>
          </w:p>
        </w:tc>
        <w:tc>
          <w:tcPr>
            <w:tcW w:type="dxa" w:w="46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 healthcare org pilots + 400 Pro subscribers + 8 School Edition clients + 1 enterprise</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$239K ARR · Break-even Month 13</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SOM (Year 3)</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50+ institutional clients across healthcare, legal, higher ed + 3,500 Pro subscribers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$2.96M ARR · Cash-flow positive</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4c.  US Market Trends Driving Demand</w:t>
      </w:r>
    </w:p>
    <w:p>
      <w:pPr>
        <w:pStyle w:val="ListParagraph"/>
        <w:numPr>
          <w:ilvl w:val="0"/>
          <w:numId w:val="2"/>
        </w:numPr>
        <w:spacing w:after="40" w:before="40"/>
      </w:pPr>
      <w:r>
        <w:rPr>
          <w:rFonts w:ascii="Arial" w:cs="Arial" w:eastAsia="Arial" w:hAnsi="Arial"/>
          <w:color w:val="1A1A2A"/>
          <w:sz w:val="22"/>
          <w:szCs w:val="22"/>
        </w:rPr>
        <w:t xml:space="preserve">CMS and state health departments increasing documentation requirements for hospital staff education hours</w:t>
      </w:r>
    </w:p>
    <w:p>
      <w:pPr>
        <w:pStyle w:val="ListParagraph"/>
        <w:numPr>
          <w:ilvl w:val="0"/>
          <w:numId w:val="2"/>
        </w:numPr>
        <w:spacing w:after="40" w:before="40"/>
      </w:pPr>
      <w:r>
        <w:rPr>
          <w:rFonts w:ascii="Arial" w:cs="Arial" w:eastAsia="Arial" w:hAnsi="Arial"/>
          <w:color w:val="1A1A2A"/>
          <w:sz w:val="22"/>
          <w:szCs w:val="22"/>
        </w:rPr>
        <w:t xml:space="preserve">State bar associations expanding mandatory CLE compliance documentation requirements</w:t>
      </w:r>
    </w:p>
    <w:p>
      <w:pPr>
        <w:pStyle w:val="ListParagraph"/>
        <w:numPr>
          <w:ilvl w:val="0"/>
          <w:numId w:val="2"/>
        </w:numPr>
        <w:spacing w:after="40" w:before="40"/>
      </w:pPr>
      <w:r>
        <w:rPr>
          <w:rFonts w:ascii="Arial" w:cs="Arial" w:eastAsia="Arial" w:hAnsi="Arial"/>
          <w:color w:val="1A1A2A"/>
          <w:sz w:val="22"/>
          <w:szCs w:val="22"/>
        </w:rPr>
        <w:t xml:space="preserve">FINRA Rule 1240 requiring ongoing training evidence for registered representatives</w:t>
      </w:r>
    </w:p>
    <w:p>
      <w:pPr>
        <w:pStyle w:val="ListParagraph"/>
        <w:numPr>
          <w:ilvl w:val="0"/>
          <w:numId w:val="2"/>
        </w:numPr>
        <w:spacing w:after="40" w:before="40"/>
      </w:pPr>
      <w:r>
        <w:rPr>
          <w:rFonts w:ascii="Arial" w:cs="Arial" w:eastAsia="Arial" w:hAnsi="Arial"/>
          <w:color w:val="1A1A2A"/>
          <w:sz w:val="22"/>
          <w:szCs w:val="22"/>
        </w:rPr>
        <w:t xml:space="preserve">ADA enforcement actions increasing against educational technology vendors without 508 compliance</w:t>
      </w:r>
    </w:p>
    <w:p>
      <w:pPr>
        <w:pStyle w:val="ListParagraph"/>
        <w:numPr>
          <w:ilvl w:val="0"/>
          <w:numId w:val="2"/>
        </w:numPr>
        <w:spacing w:after="40" w:before="40"/>
      </w:pPr>
      <w:r>
        <w:rPr>
          <w:rFonts w:ascii="Arial" w:cs="Arial" w:eastAsia="Arial" w:hAnsi="Arial"/>
          <w:color w:val="1A1A2A"/>
          <w:sz w:val="22"/>
          <w:szCs w:val="22"/>
        </w:rPr>
        <w:t xml:space="preserve">HIPAA audit activity expanding under OCR — healthcare training vendors now a focus area</w:t>
      </w:r>
    </w:p>
    <w:p>
      <w:pPr>
        <w:pStyle w:val="ListParagraph"/>
        <w:numPr>
          <w:ilvl w:val="0"/>
          <w:numId w:val="2"/>
        </w:numPr>
        <w:spacing w:after="40" w:before="40"/>
      </w:pPr>
      <w:r>
        <w:rPr>
          <w:rFonts w:ascii="Arial" w:cs="Arial" w:eastAsia="Arial" w:hAnsi="Arial"/>
          <w:color w:val="1A1A2A"/>
          <w:sz w:val="22"/>
          <w:szCs w:val="22"/>
        </w:rPr>
        <w:t xml:space="preserve">Federal contractor training requirements (FAR Subpart 22.1 and related) creating FedRAMP pressure</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5.  Competitive Analysis</w:t>
      </w:r>
    </w:p>
    <w:p>
      <w:pPr>
        <w:pStyle w:val="Heading2"/>
        <w:spacing w:after="80" w:before="260"/>
      </w:pPr>
      <w:r>
        <w:rPr>
          <w:rFonts w:ascii="Arial" w:cs="Arial" w:eastAsia="Arial" w:hAnsi="Arial"/>
          <w:b/>
          <w:bCs/>
          <w:color w:val="B22234"/>
          <w:sz w:val="26"/>
          <w:szCs w:val="26"/>
        </w:rPr>
        <w:t xml:space="preserve">5a.  US Competitive Landscape</w:t>
      </w:r>
    </w:p>
    <w:p>
      <w:pPr>
        <w:spacing w:after="120" w:before="60"/>
      </w:pPr>
      <w:r>
        <w:rPr>
          <w:rFonts w:ascii="Arial" w:cs="Arial" w:eastAsia="Arial" w:hAnsi="Arial"/>
          <w:color w:val="1A1A2A"/>
          <w:sz w:val="22"/>
          <w:szCs w:val="22"/>
        </w:rPr>
        <w:t xml:space="preserve">The US EdTech competitive landscape divides into two categories: consumer tools that are structurally ineligible for regulated market procurement, and enterprise LMS platforms that lack adaptive learning science and AI capabilities. PRCM occupies the intersection that neither category serves.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720"/>
        <w:gridCol w:w="720"/>
        <w:gridCol w:w="720"/>
        <w:gridCol w:w="1080"/>
        <w:gridCol w:w="1080"/>
        <w:gridCol w:w="2520"/>
      </w:tblGrid>
      <w:tr>
        <w:tc>
          <w:tcPr>
            <w:tcW w:type="dxa" w:w="14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Competitor</w:t>
            </w:r>
          </w:p>
        </w:tc>
        <w:tc>
          <w:tcPr>
            <w:tcW w:type="dxa" w:w="12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7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HIPAA</w:t>
            </w:r>
          </w:p>
        </w:tc>
        <w:tc>
          <w:tcPr>
            <w:tcW w:type="dxa" w:w="7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FERPA</w:t>
            </w:r>
          </w:p>
        </w:tc>
        <w:tc>
          <w:tcPr>
            <w:tcW w:type="dxa" w:w="7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 508</w:t>
            </w:r>
          </w:p>
        </w:tc>
        <w:tc>
          <w:tcPr>
            <w:tcW w:type="dxa" w:w="10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Adaptive AI</w:t>
            </w:r>
          </w:p>
        </w:tc>
        <w:tc>
          <w:tcPr>
            <w:tcW w:type="dxa" w:w="10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Diagnostic Suite</w:t>
            </w:r>
          </w:p>
        </w:tc>
        <w:tc>
          <w:tcPr>
            <w:tcW w:type="dxa" w:w="25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Quizlet</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Consumer SRS</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Ineligible for regulated procurement</w:t>
            </w:r>
          </w:p>
        </w:tc>
      </w:tr>
      <w:tr>
        <w:tc>
          <w:tcPr>
            <w:tcW w:type="dxa" w:w="14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Duolingo</w:t>
            </w:r>
          </w:p>
        </w:tc>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Consumer</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Consumer only — no enterprise path</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Anki</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Open-source SRS</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 compliance posture whatsoever</w:t>
            </w:r>
          </w:p>
        </w:tc>
      </w:tr>
      <w:tr>
        <w:tc>
          <w:tcPr>
            <w:tcW w:type="dxa" w:w="14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Coursera</w:t>
            </w:r>
          </w:p>
        </w:tc>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LMS/MOOC</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LMS, not adaptive learning — no diagnostic AI</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Cornerstone</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Enterprise LMS</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SOC 2</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FERPA</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Compliance only, no adaptive science</w:t>
            </w:r>
          </w:p>
        </w:tc>
      </w:tr>
      <w:tr>
        <w:tc>
          <w:tcPr>
            <w:tcW w:type="dxa" w:w="14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UWorld</w:t>
            </w:r>
          </w:p>
        </w:tc>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Cert Prep</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7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Partial</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Limited</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No</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Single vertical, no AI, no closed loop</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PRCM | ASRL</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AI Adaptive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HIPAA</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FERPA</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WCAG AAA</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 AI providers</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13 modules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Only platform covering all requirements</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5b.  Competitive Moat Analysis</w:t>
      </w:r>
    </w:p>
    <w:p>
      <w:pPr>
        <w:pStyle w:val="ListParagraph"/>
        <w:numPr>
          <w:ilvl w:val="0"/>
          <w:numId w:val="2"/>
        </w:numPr>
        <w:spacing w:after="40" w:before="40"/>
      </w:pPr>
      <w:r>
        <w:rPr>
          <w:rFonts w:ascii="Arial" w:cs="Arial" w:eastAsia="Arial" w:hAnsi="Arial"/>
          <w:color w:val="1A1A2A"/>
          <w:sz w:val="22"/>
          <w:szCs w:val="22"/>
        </w:rPr>
        <w:t xml:space="preserve">Compliance architecture: HIPAA, FERPA, ADA 508, and SOC 2-ready posture cannot be added to consumer platforms without architectural reconstruction — a 2-3 year rebuild</w:t>
      </w:r>
    </w:p>
    <w:p>
      <w:pPr>
        <w:pStyle w:val="ListParagraph"/>
        <w:numPr>
          <w:ilvl w:val="0"/>
          <w:numId w:val="2"/>
        </w:numPr>
        <w:spacing w:after="40" w:before="40"/>
      </w:pPr>
      <w:r>
        <w:rPr>
          <w:rFonts w:ascii="Arial" w:cs="Arial" w:eastAsia="Arial" w:hAnsi="Arial"/>
          <w:color w:val="1A1A2A"/>
          <w:sz w:val="22"/>
          <w:szCs w:val="22"/>
        </w:rPr>
        <w:t xml:space="preserve">Algorithm depth: No US competitor combines SM-2, FSRS, and IRT in a single platform with a shared canonical spec and 21 conformance vectors</w:t>
      </w:r>
    </w:p>
    <w:p>
      <w:pPr>
        <w:pStyle w:val="ListParagraph"/>
        <w:numPr>
          <w:ilvl w:val="0"/>
          <w:numId w:val="2"/>
        </w:numPr>
        <w:spacing w:after="40" w:before="40"/>
      </w:pPr>
      <w:r>
        <w:rPr>
          <w:rFonts w:ascii="Arial" w:cs="Arial" w:eastAsia="Arial" w:hAnsi="Arial"/>
          <w:color w:val="1A1A2A"/>
          <w:sz w:val="22"/>
          <w:szCs w:val="22"/>
        </w:rPr>
        <w:t xml:space="preserve">AI breadth: Five AI provider integrations, each auditable and contract-governed, versus zero for every direct competitor</w:t>
      </w:r>
    </w:p>
    <w:p>
      <w:pPr>
        <w:pStyle w:val="ListParagraph"/>
        <w:numPr>
          <w:ilvl w:val="0"/>
          <w:numId w:val="2"/>
        </w:numPr>
        <w:spacing w:after="40" w:before="40"/>
      </w:pPr>
      <w:r>
        <w:rPr>
          <w:rFonts w:ascii="Arial" w:cs="Arial" w:eastAsia="Arial" w:hAnsi="Arial"/>
          <w:color w:val="1A1A2A"/>
          <w:sz w:val="22"/>
          <w:szCs w:val="22"/>
        </w:rPr>
        <w:t xml:space="preserve">Closed-loop ecosystem: UTE + Deck Forge + ASRL creates switching costs that single-tool competitors cannot match</w:t>
      </w:r>
    </w:p>
    <w:p>
      <w:pPr>
        <w:pStyle w:val="ListParagraph"/>
        <w:numPr>
          <w:ilvl w:val="0"/>
          <w:numId w:val="2"/>
        </w:numPr>
        <w:spacing w:after="40" w:before="40"/>
      </w:pPr>
      <w:r>
        <w:rPr>
          <w:rFonts w:ascii="Arial" w:cs="Arial" w:eastAsia="Arial" w:hAnsi="Arial"/>
          <w:color w:val="1A1A2A"/>
          <w:sz w:val="22"/>
          <w:szCs w:val="22"/>
        </w:rPr>
        <w:t xml:space="preserve">Research validation: KDD 2022 and TKDE 2023 citations provide enterprise procurement credibility unavailable to consumer tools</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6.  Business Model and Revenue Streams</w:t>
      </w:r>
    </w:p>
    <w:p>
      <w:pPr>
        <w:pStyle w:val="Heading2"/>
        <w:spacing w:after="80" w:before="260"/>
      </w:pPr>
      <w:r>
        <w:rPr>
          <w:rFonts w:ascii="Arial" w:cs="Arial" w:eastAsia="Arial" w:hAnsi="Arial"/>
          <w:b/>
          <w:bCs/>
          <w:color w:val="B22234"/>
          <w:sz w:val="26"/>
          <w:szCs w:val="26"/>
        </w:rPr>
        <w:t xml:space="preserve">6a.  Revenue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2160"/>
        <w:gridCol w:w="2160"/>
        <w:gridCol w:w="2520"/>
      </w:tblGrid>
      <w:tr>
        <w:tc>
          <w:tcPr>
            <w:tcW w:type="dxa" w:w="12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c>
          <w:tcPr>
            <w:tcW w:type="dxa" w:w="12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Price</w:t>
            </w:r>
          </w:p>
        </w:tc>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Buyer</w:t>
            </w:r>
          </w:p>
        </w:tc>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 Compliance Package</w:t>
            </w:r>
          </w:p>
        </w:tc>
        <w:tc>
          <w:tcPr>
            <w:tcW w:type="dxa" w:w="25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Value Drivers</w:t>
            </w:r>
          </w:p>
        </w:tc>
      </w:tr>
      <w:tr>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Free</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$0/mo</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Individual learners, students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Standard (WCAG AAA)</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Top-of-funnel · Community growth · GitHub adoption</w:t>
            </w:r>
          </w:p>
        </w:tc>
      </w:tr>
      <w:tr>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Pro</w:t>
            </w:r>
          </w:p>
        </w:tc>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$19/mo</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Professional cert candidates, individual practitioners</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Standard + data export</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All 3 schedulers + 13 diagnostics + Groq AI + RPG</w:t>
            </w:r>
          </w:p>
        </w:tc>
      </w:tr>
      <w:tr>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School / Clinical</w:t>
            </w:r>
          </w:p>
        </w:tc>
        <w:tc>
          <w:tcPr>
            <w:tcW w:type="dxa" w:w="1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$299/mo</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K-12 districts, nursing schools, CME providers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FERPA + HIPAA package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50 seats + School Ed + biometric + evidence bundle export</w:t>
            </w:r>
          </w:p>
        </w:tc>
      </w:tr>
      <w:tr>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Enterprise</w:t>
            </w:r>
          </w:p>
        </w:tc>
        <w:tc>
          <w:tcPr>
            <w:tcW w:type="dxa" w:w="12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Custom ACV</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Hospital systems, law firms, financial services</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Full HIPAA BAA + SOC 2 docs + FedRAMP prep</w:t>
            </w:r>
          </w:p>
        </w:tc>
        <w:tc>
          <w:tcPr>
            <w:tcW w:type="dxa" w:w="25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LMS integration + SSO + immutable audit logs + dedicated CSM</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6b.  Additional US Revenue Streams</w:t>
      </w:r>
    </w:p>
    <w:p>
      <w:pPr>
        <w:pStyle w:val="ListParagraph"/>
        <w:numPr>
          <w:ilvl w:val="0"/>
          <w:numId w:val="2"/>
        </w:numPr>
        <w:spacing w:after="40" w:before="40"/>
      </w:pPr>
      <w:r>
        <w:rPr>
          <w:rFonts w:ascii="Arial" w:cs="Arial" w:eastAsia="Arial" w:hAnsi="Arial"/>
          <w:color w:val="1A1A2A"/>
          <w:sz w:val="22"/>
          <w:szCs w:val="22"/>
        </w:rPr>
        <w:t xml:space="preserve">HIPAA Compliance Reporting Module: add-on for healthcare organizations requiring CMS-format training documentation ($50-200/month)</w:t>
      </w:r>
    </w:p>
    <w:p>
      <w:pPr>
        <w:pStyle w:val="ListParagraph"/>
        <w:numPr>
          <w:ilvl w:val="0"/>
          <w:numId w:val="2"/>
        </w:numPr>
        <w:spacing w:after="40" w:before="40"/>
      </w:pPr>
      <w:r>
        <w:rPr>
          <w:rFonts w:ascii="Arial" w:cs="Arial" w:eastAsia="Arial" w:hAnsi="Arial"/>
          <w:color w:val="1A1A2A"/>
          <w:sz w:val="22"/>
          <w:szCs w:val="22"/>
        </w:rPr>
        <w:t xml:space="preserve">FINRA Training Documentation Package: structured export format for registered representative training records ($99-499/month)</w:t>
      </w:r>
    </w:p>
    <w:p>
      <w:pPr>
        <w:pStyle w:val="ListParagraph"/>
        <w:numPr>
          <w:ilvl w:val="0"/>
          <w:numId w:val="2"/>
        </w:numPr>
        <w:spacing w:after="40" w:before="40"/>
      </w:pPr>
      <w:r>
        <w:rPr>
          <w:rFonts w:ascii="Arial" w:cs="Arial" w:eastAsia="Arial" w:hAnsi="Arial"/>
          <w:color w:val="1A1A2A"/>
          <w:sz w:val="22"/>
          <w:szCs w:val="22"/>
        </w:rPr>
        <w:t xml:space="preserve">State Bar CLE Tracking Module: automated CLE credit documentation for law firm compliance officers ($149-499/month)</w:t>
      </w:r>
    </w:p>
    <w:p>
      <w:pPr>
        <w:pStyle w:val="ListParagraph"/>
        <w:numPr>
          <w:ilvl w:val="0"/>
          <w:numId w:val="2"/>
        </w:numPr>
        <w:spacing w:after="40" w:before="40"/>
      </w:pPr>
      <w:r>
        <w:rPr>
          <w:rFonts w:ascii="Arial" w:cs="Arial" w:eastAsia="Arial" w:hAnsi="Arial"/>
          <w:color w:val="1A1A2A"/>
          <w:sz w:val="22"/>
          <w:szCs w:val="22"/>
        </w:rPr>
        <w:t xml:space="preserve">FedRAMP-grade Contract Tier: premium enterprise tier for federal contractors and government-adjacent organizations (custom pricing, Year 2+)</w:t>
      </w:r>
    </w:p>
    <w:p>
      <w:pPr>
        <w:pStyle w:val="ListParagraph"/>
        <w:numPr>
          <w:ilvl w:val="0"/>
          <w:numId w:val="2"/>
        </w:numPr>
        <w:spacing w:after="40" w:before="40"/>
      </w:pPr>
      <w:r>
        <w:rPr>
          <w:rFonts w:ascii="Arial" w:cs="Arial" w:eastAsia="Arial" w:hAnsi="Arial"/>
          <w:color w:val="1A1A2A"/>
          <w:sz w:val="22"/>
          <w:szCs w:val="22"/>
        </w:rPr>
        <w:t xml:space="preserve">ML Data Licensing: de-identified aggregate learning data for healthcare AI research institutions (research partnerships, Year 3+)</w:t>
      </w:r>
    </w:p>
    <w:p>
      <w:pPr>
        <w:pStyle w:val="ListParagraph"/>
        <w:numPr>
          <w:ilvl w:val="0"/>
          <w:numId w:val="2"/>
        </w:numPr>
        <w:spacing w:after="40" w:before="40"/>
      </w:pPr>
      <w:r>
        <w:rPr>
          <w:rFonts w:ascii="Arial" w:cs="Arial" w:eastAsia="Arial" w:hAnsi="Arial"/>
          <w:color w:val="1A1A2A"/>
          <w:sz w:val="22"/>
          <w:szCs w:val="22"/>
        </w:rPr>
        <w:t xml:space="preserve">API Access: SSP-MMC scheduling engine and UTE assessment API for complementary EdTech platform integrations</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7.  US Go-to-Market Strategy</w:t>
      </w:r>
    </w:p>
    <w:p>
      <w:pPr>
        <w:pStyle w:val="Heading2"/>
        <w:spacing w:after="80" w:before="260"/>
      </w:pPr>
      <w:r>
        <w:rPr>
          <w:rFonts w:ascii="Arial" w:cs="Arial" w:eastAsia="Arial" w:hAnsi="Arial"/>
          <w:b/>
          <w:bCs/>
          <w:color w:val="B22234"/>
          <w:sz w:val="26"/>
          <w:szCs w:val="26"/>
        </w:rPr>
        <w:t xml:space="preserve">7a.  Channel Strategy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Healthcare Channel (Highest Priority)</w:t>
            </w:r>
          </w:p>
          <w:p>
            <w:pPr>
              <w:spacing w:after="120" w:before="60"/>
            </w:pPr>
            <w:r>
              <w:rPr>
                <w:rFonts w:ascii="Arial" w:cs="Arial" w:eastAsia="Arial" w:hAnsi="Arial"/>
                <w:color w:val="1A1A2A"/>
                <w:sz w:val="22"/>
                <w:szCs w:val="22"/>
              </w:rPr>
              <w:t xml:space="preserve">Target: HIPAA-covered entities with mandatory staff training requirements — hospital systems, health plans, CME providers, nursing schools.</w:t>
            </w:r>
          </w:p>
          <w:p>
            <w:pPr>
              <w:pStyle w:val="ListParagraph"/>
              <w:numPr>
                <w:ilvl w:val="0"/>
                <w:numId w:val="2"/>
              </w:numPr>
              <w:spacing w:after="40" w:before="40"/>
            </w:pPr>
            <w:r>
              <w:rPr>
                <w:rFonts w:ascii="Arial" w:cs="Arial" w:eastAsia="Arial" w:hAnsi="Arial"/>
                <w:color w:val="1A1A2A"/>
                <w:sz w:val="22"/>
                <w:szCs w:val="22"/>
              </w:rPr>
              <w:t xml:space="preserve">Entry: ANCC-accredited CME providers as initial distribution partners</w:t>
            </w:r>
          </w:p>
          <w:p>
            <w:pPr>
              <w:pStyle w:val="ListParagraph"/>
              <w:numPr>
                <w:ilvl w:val="0"/>
                <w:numId w:val="2"/>
              </w:numPr>
              <w:spacing w:after="40" w:before="40"/>
            </w:pPr>
            <w:r>
              <w:rPr>
                <w:rFonts w:ascii="Arial" w:cs="Arial" w:eastAsia="Arial" w:hAnsi="Arial"/>
                <w:color w:val="1A1A2A"/>
                <w:sz w:val="22"/>
                <w:szCs w:val="22"/>
              </w:rPr>
              <w:t xml:space="preserve">Value proposition: HIPAA BAA + measurable retention outcomes + CME credit documentation in one platform</w:t>
            </w:r>
          </w:p>
          <w:p>
            <w:pPr>
              <w:pStyle w:val="ListParagraph"/>
              <w:numPr>
                <w:ilvl w:val="0"/>
                <w:numId w:val="2"/>
              </w:numPr>
              <w:spacing w:after="40" w:before="40"/>
            </w:pPr>
            <w:r>
              <w:rPr>
                <w:rFonts w:ascii="Arial" w:cs="Arial" w:eastAsia="Arial" w:hAnsi="Arial"/>
                <w:color w:val="1A1A2A"/>
                <w:sz w:val="22"/>
                <w:szCs w:val="22"/>
              </w:rPr>
              <w:t xml:space="preserve">Key associations: AAMC (140 medical schools), ACGME (12,000 residency programs), ANCC (nursing certification)</w:t>
            </w:r>
          </w:p>
          <w:p>
            <w:pPr>
              <w:pStyle w:val="ListParagraph"/>
              <w:numPr>
                <w:ilvl w:val="0"/>
                <w:numId w:val="2"/>
              </w:numPr>
              <w:spacing w:after="40" w:before="40"/>
            </w:pPr>
            <w:r>
              <w:rPr>
                <w:rFonts w:ascii="Arial" w:cs="Arial" w:eastAsia="Arial" w:hAnsi="Arial"/>
                <w:color w:val="1A1A2A"/>
                <w:sz w:val="22"/>
                <w:szCs w:val="22"/>
              </w:rPr>
              <w:t xml:space="preserve">Sales motion: compliance-led outreach to Chief Nursing Officers and Director of Medical Education roles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Legal + Financial Channel</w:t>
            </w:r>
          </w:p>
          <w:p>
            <w:pPr>
              <w:spacing w:after="120" w:before="60"/>
            </w:pPr>
            <w:r>
              <w:rPr>
                <w:rFonts w:ascii="Arial" w:cs="Arial" w:eastAsia="Arial" w:hAnsi="Arial"/>
                <w:color w:val="1A1A2A"/>
                <w:sz w:val="22"/>
                <w:szCs w:val="22"/>
              </w:rPr>
              <w:t xml:space="preserve">Target: Law firms, bar prep providers, financial services firms with FINRA training requirements.</w:t>
            </w:r>
          </w:p>
          <w:p>
            <w:pPr>
              <w:pStyle w:val="ListParagraph"/>
              <w:numPr>
                <w:ilvl w:val="0"/>
                <w:numId w:val="2"/>
              </w:numPr>
              <w:spacing w:after="40" w:before="40"/>
            </w:pPr>
            <w:r>
              <w:rPr>
                <w:rFonts w:ascii="Arial" w:cs="Arial" w:eastAsia="Arial" w:hAnsi="Arial"/>
                <w:color w:val="1A1A2A"/>
                <w:sz w:val="22"/>
                <w:szCs w:val="22"/>
              </w:rPr>
              <w:t xml:space="preserve">Entry: Bar prep integration (BARBRI, Themis, Kaplan) and CFA/CPA review course partnerships</w:t>
            </w:r>
          </w:p>
          <w:p>
            <w:pPr>
              <w:pStyle w:val="ListParagraph"/>
              <w:numPr>
                <w:ilvl w:val="0"/>
                <w:numId w:val="2"/>
              </w:numPr>
              <w:spacing w:after="40" w:before="40"/>
            </w:pPr>
            <w:r>
              <w:rPr>
                <w:rFonts w:ascii="Arial" w:cs="Arial" w:eastAsia="Arial" w:hAnsi="Arial"/>
                <w:color w:val="1A1A2A"/>
                <w:sz w:val="22"/>
                <w:szCs w:val="22"/>
              </w:rPr>
              <w:t xml:space="preserve">Value proposition: IRT adaptive testing matches bar/CFA exam psychometric format · CLE documentation automation</w:t>
            </w:r>
          </w:p>
          <w:p>
            <w:pPr>
              <w:pStyle w:val="ListParagraph"/>
              <w:numPr>
                <w:ilvl w:val="0"/>
                <w:numId w:val="2"/>
              </w:numPr>
              <w:spacing w:after="40" w:before="40"/>
            </w:pPr>
            <w:r>
              <w:rPr>
                <w:rFonts w:ascii="Arial" w:cs="Arial" w:eastAsia="Arial" w:hAnsi="Arial"/>
                <w:color w:val="1A1A2A"/>
                <w:sz w:val="22"/>
                <w:szCs w:val="22"/>
              </w:rPr>
              <w:t xml:space="preserve">Key associations: ABA Law School Admissions, NASBA (CPA), CFA Institute</w:t>
            </w:r>
          </w:p>
          <w:p>
            <w:pPr>
              <w:pStyle w:val="ListParagraph"/>
              <w:numPr>
                <w:ilvl w:val="0"/>
                <w:numId w:val="2"/>
              </w:numPr>
              <w:spacing w:after="40" w:before="40"/>
            </w:pPr>
            <w:r>
              <w:rPr>
                <w:rFonts w:ascii="Arial" w:cs="Arial" w:eastAsia="Arial" w:hAnsi="Arial"/>
                <w:color w:val="1A1A2A"/>
                <w:sz w:val="22"/>
                <w:szCs w:val="22"/>
              </w:rPr>
              <w:t xml:space="preserve">Sales motion: LinkedIn outreach to General Counsel and Chief Learning Officer roles at Am Law 200 firms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Higher Education + K-12 Channel</w:t>
            </w:r>
          </w:p>
          <w:p>
            <w:pPr>
              <w:spacing w:after="120" w:before="60"/>
            </w:pPr>
            <w:r>
              <w:rPr>
                <w:rFonts w:ascii="Arial" w:cs="Arial" w:eastAsia="Arial" w:hAnsi="Arial"/>
                <w:color w:val="1A1A2A"/>
                <w:sz w:val="22"/>
                <w:szCs w:val="22"/>
              </w:rPr>
              <w:t xml:space="preserve">Target: FERPA-covered institutions with LMS integration requirements.</w:t>
            </w:r>
          </w:p>
          <w:p>
            <w:pPr>
              <w:pStyle w:val="ListParagraph"/>
              <w:numPr>
                <w:ilvl w:val="0"/>
                <w:numId w:val="2"/>
              </w:numPr>
              <w:spacing w:after="40" w:before="40"/>
            </w:pPr>
            <w:r>
              <w:rPr>
                <w:rFonts w:ascii="Arial" w:cs="Arial" w:eastAsia="Arial" w:hAnsi="Arial"/>
                <w:color w:val="1A1A2A"/>
                <w:sz w:val="22"/>
                <w:szCs w:val="22"/>
              </w:rPr>
              <w:t xml:space="preserve">Entry: Health science and law school programs (highest exam pass rate pressure)</w:t>
            </w:r>
          </w:p>
          <w:p>
            <w:pPr>
              <w:pStyle w:val="ListParagraph"/>
              <w:numPr>
                <w:ilvl w:val="0"/>
                <w:numId w:val="2"/>
              </w:numPr>
              <w:spacing w:after="40" w:before="40"/>
            </w:pPr>
            <w:r>
              <w:rPr>
                <w:rFonts w:ascii="Arial" w:cs="Arial" w:eastAsia="Arial" w:hAnsi="Arial"/>
                <w:color w:val="1A1A2A"/>
                <w:sz w:val="22"/>
                <w:szCs w:val="22"/>
              </w:rPr>
              <w:t xml:space="preserve">Path: E-rate eligible for K-12 district procurement · Title IV alignment documentation</w:t>
            </w:r>
          </w:p>
          <w:p>
            <w:pPr>
              <w:pStyle w:val="ListParagraph"/>
              <w:numPr>
                <w:ilvl w:val="0"/>
                <w:numId w:val="2"/>
              </w:numPr>
              <w:spacing w:after="40" w:before="40"/>
            </w:pPr>
            <w:r>
              <w:rPr>
                <w:rFonts w:ascii="Arial" w:cs="Arial" w:eastAsia="Arial" w:hAnsi="Arial"/>
                <w:color w:val="1A1A2A"/>
                <w:sz w:val="22"/>
                <w:szCs w:val="22"/>
              </w:rPr>
              <w:t xml:space="preserve">Key associations: EDUCAUSE member institutions, ISTE, Council of Graduate Schools</w:t>
            </w:r>
          </w:p>
          <w:p>
            <w:pPr>
              <w:pStyle w:val="ListParagraph"/>
              <w:numPr>
                <w:ilvl w:val="0"/>
                <w:numId w:val="2"/>
              </w:numPr>
              <w:spacing w:after="40" w:before="40"/>
            </w:pPr>
            <w:r>
              <w:rPr>
                <w:rFonts w:ascii="Arial" w:cs="Arial" w:eastAsia="Arial" w:hAnsi="Arial"/>
                <w:color w:val="1A1A2A"/>
                <w:sz w:val="22"/>
                <w:szCs w:val="22"/>
              </w:rPr>
              <w:t xml:space="preserve">Sales motion: Bottom-up faculty adoption → departmental license → institutional agreement</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7b.  Digital Acquisition Strategy</w:t>
      </w:r>
    </w:p>
    <w:p>
      <w:pPr>
        <w:pStyle w:val="ListParagraph"/>
        <w:numPr>
          <w:ilvl w:val="0"/>
          <w:numId w:val="2"/>
        </w:numPr>
        <w:spacing w:after="40" w:before="40"/>
      </w:pPr>
      <w:r>
        <w:rPr>
          <w:rFonts w:ascii="Arial" w:cs="Arial" w:eastAsia="Arial" w:hAnsi="Arial"/>
          <w:color w:val="1A1A2A"/>
          <w:sz w:val="22"/>
          <w:szCs w:val="22"/>
        </w:rPr>
        <w:t xml:space="preserve">GitHub open-source community: bottom-up developer adoption generates organic enterprise discovery and credibility signals</w:t>
      </w:r>
    </w:p>
    <w:p>
      <w:pPr>
        <w:pStyle w:val="ListParagraph"/>
        <w:numPr>
          <w:ilvl w:val="0"/>
          <w:numId w:val="2"/>
        </w:numPr>
        <w:spacing w:after="40" w:before="40"/>
      </w:pPr>
      <w:r>
        <w:rPr>
          <w:rFonts w:ascii="Arial" w:cs="Arial" w:eastAsia="Arial" w:hAnsi="Arial"/>
          <w:color w:val="1A1A2A"/>
          <w:sz w:val="22"/>
          <w:szCs w:val="22"/>
        </w:rPr>
        <w:t xml:space="preserve">Content marketing: SEO targeting “HIPAA-compliant LMS”, “NCLEX adaptive study”, “bar exam spaced repetition” — high commercial intent keywords</w:t>
      </w:r>
    </w:p>
    <w:p>
      <w:pPr>
        <w:pStyle w:val="ListParagraph"/>
        <w:numPr>
          <w:ilvl w:val="0"/>
          <w:numId w:val="2"/>
        </w:numPr>
        <w:spacing w:after="40" w:before="40"/>
      </w:pPr>
      <w:r>
        <w:rPr>
          <w:rFonts w:ascii="Arial" w:cs="Arial" w:eastAsia="Arial" w:hAnsi="Arial"/>
          <w:color w:val="1A1A2A"/>
          <w:sz w:val="22"/>
          <w:szCs w:val="22"/>
        </w:rPr>
        <w:t xml:space="preserve">LinkedIn outreach: CLOs, Directors of Medical Education, Compliance Officers at target institutions</w:t>
      </w:r>
    </w:p>
    <w:p>
      <w:pPr>
        <w:pStyle w:val="ListParagraph"/>
        <w:numPr>
          <w:ilvl w:val="0"/>
          <w:numId w:val="2"/>
        </w:numPr>
        <w:spacing w:after="40" w:before="40"/>
      </w:pPr>
      <w:r>
        <w:rPr>
          <w:rFonts w:ascii="Arial" w:cs="Arial" w:eastAsia="Arial" w:hAnsi="Arial"/>
          <w:color w:val="1A1A2A"/>
          <w:sz w:val="22"/>
          <w:szCs w:val="22"/>
        </w:rPr>
        <w:t xml:space="preserve">Conference presence: ATD (Association for Talent Development), HIMSS (healthcare IT), ABA TechShow, EDUCAUSE</w:t>
      </w:r>
    </w:p>
    <w:p>
      <w:pPr>
        <w:pStyle w:val="ListParagraph"/>
        <w:numPr>
          <w:ilvl w:val="0"/>
          <w:numId w:val="2"/>
        </w:numPr>
        <w:spacing w:after="40" w:before="40"/>
      </w:pPr>
      <w:r>
        <w:rPr>
          <w:rFonts w:ascii="Arial" w:cs="Arial" w:eastAsia="Arial" w:hAnsi="Arial"/>
          <w:color w:val="1A1A2A"/>
          <w:sz w:val="22"/>
          <w:szCs w:val="22"/>
        </w:rPr>
        <w:t xml:space="preserve">Referral: streak-based incentive embedded in RPG engine drives word-of-mouth among professional exam communities</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8.  Operations and Technology</w:t>
      </w:r>
    </w:p>
    <w:p>
      <w:pPr>
        <w:pStyle w:val="Heading2"/>
        <w:spacing w:after="80" w:before="260"/>
      </w:pPr>
      <w:r>
        <w:rPr>
          <w:rFonts w:ascii="Arial" w:cs="Arial" w:eastAsia="Arial" w:hAnsi="Arial"/>
          <w:b/>
          <w:bCs/>
          <w:color w:val="B22234"/>
          <w:sz w:val="26"/>
          <w:szCs w:val="26"/>
        </w:rPr>
        <w:t xml:space="preserve">8a.  Technology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32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Technologies</w:t>
            </w:r>
          </w:p>
        </w:tc>
        <w:tc>
          <w:tcPr>
            <w:tcW w:type="dxa" w:w="39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 Compliance Relevance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UI Framework</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React 19 + TypeScript strict + Vite 7 + Framer Motion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ADA 508 / WCAG AAA compliant component architecture</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Scheduling Engine</w:t>
            </w:r>
          </w:p>
        </w:tc>
        <w:tc>
          <w:tcPr>
            <w:tcW w:type="dxa" w:w="32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SM-2 + FSRS + IRT 3PL (algo.json v2.3.0)</w:t>
            </w:r>
          </w:p>
        </w:tc>
        <w:tc>
          <w:tcPr>
            <w:tcW w:type="dxa" w:w="39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21 conformance vectors · Auditable algorithm decisions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AI Layer</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Groq SDK + OpenAI SDK + UTE Engine + SSP-MMC</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API call logging · No PHI in AI prompts by design</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Diagnostic Suite</w:t>
            </w:r>
          </w:p>
        </w:tc>
        <w:tc>
          <w:tcPr>
            <w:tcW w:type="dxa" w:w="32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13 modules (Ebbinghaus, IRT, cognitive, style)</w:t>
            </w:r>
          </w:p>
        </w:tc>
        <w:tc>
          <w:tcPr>
            <w:tcW w:type="dxa" w:w="39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Mastery evidence for CME/CLE/FINRA documentation</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Data &amp; Export</w:t>
            </w:r>
          </w:p>
        </w:tc>
        <w:tc>
          <w:tcPr>
            <w:tcW w:type="dxa" w:w="3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jsPDF, PapaParse, LZ-String, evidence bundle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HIPAA Safe Harbor de-identification · FERPA-compliant export</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Testing</w:t>
            </w:r>
          </w:p>
        </w:tc>
        <w:tc>
          <w:tcPr>
            <w:tcW w:type="dxa" w:w="32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Vitest 4 · 95/95 tests · 6 KPI gates · staged rollout</w:t>
            </w:r>
          </w:p>
        </w:tc>
        <w:tc>
          <w:tcPr>
            <w:tcW w:type="dxa" w:w="39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Enterprise procurement confidence · SOC 2 testing evidence</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8b.  US 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2160"/>
        <w:gridCol w:w="396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108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Certification / Standard</w:t>
            </w:r>
          </w:p>
        </w:tc>
        <w:tc>
          <w:tcPr>
            <w:tcW w:type="dxa" w:w="39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Significance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HIPAA BAA Template Finalized</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2</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HIPAA Privacy Rule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Enables healthcare enterprise sales</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SOC 2 Type II Audit Initiated</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3</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AICPA SOC 2</w:t>
            </w:r>
          </w:p>
        </w:tc>
        <w:tc>
          <w:tcPr>
            <w:tcW w:type="dxa" w:w="39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Required for enterprise procurement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ADA 508 Third-party Audit</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4</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Section 508 / WCAG AAA</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Required for federal and education procurement</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HITRUST CSF Certification</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9</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HITRUST CSF v11</w:t>
            </w:r>
          </w:p>
        </w:tc>
        <w:tc>
          <w:tcPr>
            <w:tcW w:type="dxa" w:w="39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Hospital and payer procurement requirement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SOC 2 Type II Report Issued</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12</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AICPA SOC 2</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Full enterprise procurement clearance</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FedRAMP Low Assessment</w:t>
            </w:r>
          </w:p>
        </w:tc>
        <w:tc>
          <w:tcPr>
            <w:tcW w:type="dxa" w:w="108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15</w:t>
            </w:r>
          </w:p>
        </w:tc>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FedRAMP</w:t>
            </w:r>
          </w:p>
        </w:tc>
        <w:tc>
          <w:tcPr>
            <w:tcW w:type="dxa" w:w="39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Federal contractor and DoD pathway</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FedRAMP Moderate ATO</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Year 3</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FedRAMP</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Full federal/DoD deployment</w:t>
            </w:r>
          </w:p>
        </w:tc>
      </w:tr>
    </w:tbl>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9.  Management Team</w:t>
      </w:r>
    </w:p>
    <w:p>
      <w:pPr>
        <w:pStyle w:val="Heading2"/>
        <w:spacing w:after="80" w:before="260"/>
      </w:pPr>
      <w:r>
        <w:rPr>
          <w:rFonts w:ascii="Arial" w:cs="Arial" w:eastAsia="Arial" w:hAnsi="Arial"/>
          <w:b/>
          <w:bCs/>
          <w:color w:val="B22234"/>
          <w:sz w:val="26"/>
          <w:szCs w:val="26"/>
        </w:rPr>
        <w:t xml:space="preserve">9a.  Founding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Founder &amp; CEO</w:t>
            </w:r>
          </w:p>
          <w:p>
            <w:pPr>
              <w:spacing w:after="120" w:before="60"/>
            </w:pPr>
            <w:r>
              <w:rPr>
                <w:rFonts w:ascii="Arial" w:cs="Arial" w:eastAsia="Arial" w:hAnsi="Arial"/>
                <w:color w:val="1A1A2A"/>
                <w:sz w:val="22"/>
                <w:szCs w:val="22"/>
              </w:rPr>
              <w:t xml:space="preserve">Background: Cybersecurity consulting (Diatasso LLC), organizational development, technology-enabled learning, and professional certification training. Architected the compliance-first PRCM development philosophy and the contract-governed AI integration layer. Leads US enterprise sales strategy, investor relations, and healthcare/legal vertical business development.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Head of Learning Science</w:t>
            </w:r>
          </w:p>
          <w:p>
            <w:pPr>
              <w:spacing w:after="120" w:before="60"/>
            </w:pPr>
            <w:r>
              <w:rPr>
                <w:rFonts w:ascii="Arial" w:cs="Arial" w:eastAsia="Arial" w:hAnsi="Arial"/>
                <w:color w:val="1A1A2A"/>
                <w:sz w:val="22"/>
                <w:szCs w:val="22"/>
              </w:rPr>
              <w:t xml:space="preserve">Background: Educational psychology, SM-2/FSRS/IRT 3PL algorithm research, psychometric design. Primary author of algo.json v2.3.0 spec and 21 conformance test vectors. Ensures PRCM’s IRT CAT engine meets the psychometric standards of NCLEX, USMLE, and bar exam formats. Leads academic partnerships and CME credit program design.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Head of Compliance &amp; Accessibility</w:t>
            </w:r>
          </w:p>
          <w:p>
            <w:pPr>
              <w:spacing w:after="120" w:before="60"/>
            </w:pPr>
            <w:r>
              <w:rPr>
                <w:rFonts w:ascii="Arial" w:cs="Arial" w:eastAsia="Arial" w:hAnsi="Arial"/>
                <w:color w:val="1A1A2A"/>
                <w:sz w:val="22"/>
                <w:szCs w:val="22"/>
              </w:rPr>
              <w:t xml:space="preserve">Background: HIPAA, FERPA, ADA Section 508, WCAG AAA, SOC 2. Leads compliance architecture, HIPAA BAA execution, HITRUST CSF certification project, ADA 508 third-party audit program, and FINRA/CLE documentation module development. Primary contact for hospital IT security reviews.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6"/>
              <w:bottom w:val="single" w:color="028090" w:sz="1"/>
              <w:right w:val="single" w:color="E2E8F0" w:sz="1"/>
            </w:tcBorders>
            <w:shd w:fill="EEF9FB" w:val="clear"/>
            <w:tcMar>
              <w:top w:type="dxa" w:w="120"/>
              <w:left w:type="dxa" w:w="200"/>
              <w:bottom w:type="dxa" w:w="120"/>
              <w:right w:type="dxa" w:w="120"/>
            </w:tcMar>
          </w:tcPr>
          <w:p>
            <w:pPr>
              <w:spacing w:after="80" w:before="0"/>
            </w:pPr>
            <w:r>
              <w:rPr>
                <w:rFonts w:ascii="Arial" w:cs="Arial" w:eastAsia="Arial" w:hAnsi="Arial"/>
                <w:b/>
                <w:bCs/>
                <w:color w:val="028090"/>
                <w:sz w:val="20"/>
                <w:szCs w:val="20"/>
              </w:rPr>
              <w:t xml:space="preserve">Head of Engineering</w:t>
            </w:r>
          </w:p>
          <w:p>
            <w:pPr>
              <w:spacing w:after="120" w:before="60"/>
            </w:pPr>
            <w:r>
              <w:rPr>
                <w:rFonts w:ascii="Arial" w:cs="Arial" w:eastAsia="Arial" w:hAnsi="Arial"/>
                <w:color w:val="1A1A2A"/>
                <w:sz w:val="22"/>
                <w:szCs w:val="22"/>
              </w:rPr>
              <w:t xml:space="preserve">Background: React 19, TypeScript strict, Vite 7, Vitest 4, Groq + OpenAI SDK. Maintains 95/95 test suite, 6 KPI gates, 5-stage staged rollout policy, 98/100 Lighthouse, sub-0.6s FCP, and HIPAA-safe infrastructure architecture. Leads SOC 2 technical evidence preparation.</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9b.  Key US Hires (Post-Funding)</w:t>
      </w:r>
    </w:p>
    <w:p>
      <w:pPr>
        <w:pStyle w:val="ListParagraph"/>
        <w:numPr>
          <w:ilvl w:val="0"/>
          <w:numId w:val="2"/>
        </w:numPr>
        <w:spacing w:after="40" w:before="40"/>
      </w:pPr>
      <w:r>
        <w:rPr>
          <w:rFonts w:ascii="Arial" w:cs="Arial" w:eastAsia="Arial" w:hAnsi="Arial"/>
          <w:color w:val="1A1A2A"/>
          <w:sz w:val="22"/>
          <w:szCs w:val="22"/>
        </w:rPr>
        <w:t xml:space="preserve">VP of Enterprise Sales — Healthcare (Month 1): Hospital system and CME provider sales · Target: 5+ years HIPAA SaaS sales experience</w:t>
      </w:r>
    </w:p>
    <w:p>
      <w:pPr>
        <w:pStyle w:val="ListParagraph"/>
        <w:numPr>
          <w:ilvl w:val="0"/>
          <w:numId w:val="2"/>
        </w:numPr>
        <w:spacing w:after="40" w:before="40"/>
      </w:pPr>
      <w:r>
        <w:rPr>
          <w:rFonts w:ascii="Arial" w:cs="Arial" w:eastAsia="Arial" w:hAnsi="Arial"/>
          <w:color w:val="1A1A2A"/>
          <w:sz w:val="22"/>
          <w:szCs w:val="22"/>
        </w:rPr>
        <w:t xml:space="preserve">Compliance Counsel / HIPAA Privacy Officer (Month 2): BAA execution, OCR audit response, HITRUST program management</w:t>
      </w:r>
    </w:p>
    <w:p>
      <w:pPr>
        <w:pStyle w:val="ListParagraph"/>
        <w:numPr>
          <w:ilvl w:val="0"/>
          <w:numId w:val="2"/>
        </w:numPr>
        <w:spacing w:after="40" w:before="40"/>
      </w:pPr>
      <w:r>
        <w:rPr>
          <w:rFonts w:ascii="Arial" w:cs="Arial" w:eastAsia="Arial" w:hAnsi="Arial"/>
          <w:color w:val="1A1A2A"/>
          <w:sz w:val="22"/>
          <w:szCs w:val="22"/>
        </w:rPr>
        <w:t xml:space="preserve">ML Engineer (Month 3): Groq + OpenAI integration expansion, SSP-MMC fine-tuning, HIPAA-safe data pipeline</w:t>
      </w:r>
    </w:p>
    <w:p>
      <w:pPr>
        <w:pStyle w:val="ListParagraph"/>
        <w:numPr>
          <w:ilvl w:val="0"/>
          <w:numId w:val="2"/>
        </w:numPr>
        <w:spacing w:after="40" w:before="40"/>
      </w:pPr>
      <w:r>
        <w:rPr>
          <w:rFonts w:ascii="Arial" w:cs="Arial" w:eastAsia="Arial" w:hAnsi="Arial"/>
          <w:color w:val="1A1A2A"/>
          <w:sz w:val="22"/>
          <w:szCs w:val="22"/>
        </w:rPr>
        <w:t xml:space="preserve">Customer Success Manager — Healthcare (Month 5): Hospital and CME provider onboarding, retention, evidence bundle training</w:t>
      </w:r>
    </w:p>
    <w:p>
      <w:pPr>
        <w:pStyle w:val="ListParagraph"/>
        <w:numPr>
          <w:ilvl w:val="0"/>
          <w:numId w:val="2"/>
        </w:numPr>
        <w:spacing w:after="40" w:before="40"/>
      </w:pPr>
      <w:r>
        <w:rPr>
          <w:rFonts w:ascii="Arial" w:cs="Arial" w:eastAsia="Arial" w:hAnsi="Arial"/>
          <w:color w:val="1A1A2A"/>
          <w:sz w:val="22"/>
          <w:szCs w:val="22"/>
        </w:rPr>
        <w:t xml:space="preserve">Federal Sales Specialist (Year 2): FedRAMP pathway, DoD contractor outreach, GSA schedule positioning</w:t>
      </w:r>
    </w:p>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10.  Financial Projections (USD)</w:t>
      </w:r>
    </w:p>
    <w:p>
      <w:pPr>
        <w:pStyle w:val="Heading2"/>
        <w:spacing w:after="80" w:before="260"/>
      </w:pPr>
      <w:r>
        <w:rPr>
          <w:rFonts w:ascii="Arial" w:cs="Arial" w:eastAsia="Arial" w:hAnsi="Arial"/>
          <w:b/>
          <w:bCs/>
          <w:color w:val="B22234"/>
          <w:sz w:val="26"/>
          <w:szCs w:val="26"/>
        </w:rPr>
        <w:t xml:space="preserve">10a.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3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1</w:t>
            </w:r>
          </w:p>
        </w:tc>
        <w:tc>
          <w:tcPr>
            <w:tcW w:type="dxa" w:w="23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2</w:t>
            </w:r>
          </w:p>
        </w:tc>
        <w:tc>
          <w:tcPr>
            <w:tcW w:type="dxa" w:w="234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3</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Annual Recurring Revenue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$239,000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$1,150,000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$2,960,000</w:t>
            </w:r>
          </w:p>
        </w:tc>
      </w:tr>
      <w:tr>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Pro Subscribers (End of Year)</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400</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1,500</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3,500</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School / Clinical Clients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35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90</w:t>
            </w:r>
          </w:p>
        </w:tc>
      </w:tr>
      <w:tr>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Enterprise Clients (US)</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6</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18</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Gross Margin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84%</w:t>
            </w:r>
          </w:p>
        </w:tc>
      </w:tr>
      <w:tr>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Total Operating Expenses</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$720,000</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$1,050,000</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$1,650,000</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Net Position (Year End)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($481,000)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$100,000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+$1,310,000</w:t>
            </w:r>
          </w:p>
        </w:tc>
      </w:tr>
      <w:tr>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US Break-even</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Month 13</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t>
            </w:r>
          </w:p>
        </w:tc>
        <w:tc>
          <w:tcPr>
            <w:tcW w:type="dxa" w:w="234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10b.  Key US Financial Assumptions</w:t>
      </w:r>
    </w:p>
    <w:p>
      <w:pPr>
        <w:pStyle w:val="ListParagraph"/>
        <w:numPr>
          <w:ilvl w:val="0"/>
          <w:numId w:val="2"/>
        </w:numPr>
        <w:spacing w:after="40" w:before="40"/>
      </w:pPr>
      <w:r>
        <w:rPr>
          <w:rFonts w:ascii="Arial" w:cs="Arial" w:eastAsia="Arial" w:hAnsi="Arial"/>
          <w:color w:val="1A1A2A"/>
          <w:sz w:val="22"/>
          <w:szCs w:val="22"/>
        </w:rPr>
        <w:t xml:space="preserve">Pro conversion: 3% free-to-paid (conservative for compliance-aware professional users)</w:t>
      </w:r>
    </w:p>
    <w:p>
      <w:pPr>
        <w:pStyle w:val="ListParagraph"/>
        <w:numPr>
          <w:ilvl w:val="0"/>
          <w:numId w:val="2"/>
        </w:numPr>
        <w:spacing w:after="40" w:before="40"/>
      </w:pPr>
      <w:r>
        <w:rPr>
          <w:rFonts w:ascii="Arial" w:cs="Arial" w:eastAsia="Arial" w:hAnsi="Arial"/>
          <w:color w:val="1A1A2A"/>
          <w:sz w:val="22"/>
          <w:szCs w:val="22"/>
        </w:rPr>
        <w:t xml:space="preserve">School/Clinical ARPU: $299/month = $3,588 ARR per institution (8 clients Year 1 = $28,704 ARR minimum)</w:t>
      </w:r>
    </w:p>
    <w:p>
      <w:pPr>
        <w:pStyle w:val="ListParagraph"/>
        <w:numPr>
          <w:ilvl w:val="0"/>
          <w:numId w:val="2"/>
        </w:numPr>
        <w:spacing w:after="40" w:before="40"/>
      </w:pPr>
      <w:r>
        <w:rPr>
          <w:rFonts w:ascii="Arial" w:cs="Arial" w:eastAsia="Arial" w:hAnsi="Arial"/>
          <w:color w:val="1A1A2A"/>
          <w:sz w:val="22"/>
          <w:szCs w:val="22"/>
        </w:rPr>
        <w:t xml:space="preserve">Enterprise ACV: $20,000–$100,000 depending on seat count and compliance package tier</w:t>
      </w:r>
    </w:p>
    <w:p>
      <w:pPr>
        <w:pStyle w:val="ListParagraph"/>
        <w:numPr>
          <w:ilvl w:val="0"/>
          <w:numId w:val="2"/>
        </w:numPr>
        <w:spacing w:after="40" w:before="40"/>
      </w:pPr>
      <w:r>
        <w:rPr>
          <w:rFonts w:ascii="Arial" w:cs="Arial" w:eastAsia="Arial" w:hAnsi="Arial"/>
          <w:color w:val="1A1A2A"/>
          <w:sz w:val="22"/>
          <w:szCs w:val="22"/>
        </w:rPr>
        <w:t xml:space="preserve">Healthcare enterprise deals driven by compliance documentation requirements — lower price sensitivity than consumer</w:t>
      </w:r>
    </w:p>
    <w:p>
      <w:pPr>
        <w:pStyle w:val="ListParagraph"/>
        <w:numPr>
          <w:ilvl w:val="0"/>
          <w:numId w:val="2"/>
        </w:numPr>
        <w:spacing w:after="40" w:before="40"/>
      </w:pPr>
      <w:r>
        <w:rPr>
          <w:rFonts w:ascii="Arial" w:cs="Arial" w:eastAsia="Arial" w:hAnsi="Arial"/>
          <w:color w:val="1A1A2A"/>
          <w:sz w:val="22"/>
          <w:szCs w:val="22"/>
        </w:rPr>
        <w:t xml:space="preserve">HIPAA / SOC 2 certification unlocks procurement at month 9-12, accelerating Y2 enterprise revenue</w:t>
      </w:r>
    </w:p>
    <w:p>
      <w:pPr>
        <w:pStyle w:val="ListParagraph"/>
        <w:numPr>
          <w:ilvl w:val="0"/>
          <w:numId w:val="2"/>
        </w:numPr>
        <w:spacing w:after="40" w:before="40"/>
      </w:pPr>
      <w:r>
        <w:rPr>
          <w:rFonts w:ascii="Arial" w:cs="Arial" w:eastAsia="Arial" w:hAnsi="Arial"/>
          <w:color w:val="1A1A2A"/>
          <w:sz w:val="22"/>
          <w:szCs w:val="22"/>
        </w:rPr>
        <w:t xml:space="preserve">Gross margin of 78-84% reflects SaaS COGS (hosting, AI API costs, compliance infrastructure)</w:t>
      </w:r>
    </w:p>
    <w:p>
      <w:pPr>
        <w:spacing w:after="80" w:before="0"/>
      </w:pPr>
      <w:r>
        <w:t xml:space="preserve"/>
      </w:r>
    </w:p>
    <w:p>
      <w:pPr>
        <w:pStyle w:val="Heading2"/>
        <w:spacing w:after="80" w:before="260"/>
      </w:pPr>
      <w:r>
        <w:rPr>
          <w:rFonts w:ascii="Arial" w:cs="Arial" w:eastAsia="Arial" w:hAnsi="Arial"/>
          <w:b/>
          <w:bCs/>
          <w:color w:val="B22234"/>
          <w:sz w:val="26"/>
          <w:szCs w:val="26"/>
        </w:rPr>
        <w:t xml:space="preserve">10c.  US Funding Requirement and Use of Funds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34" w:sz="1"/>
              <w:left w:val="single" w:color="B22234" w:sz="16"/>
              <w:bottom w:val="single" w:color="B22234" w:sz="1"/>
              <w:right w:val="single" w:color="E2E8F0" w:sz="1"/>
            </w:tcBorders>
            <w:shd w:fill="FFF0F0" w:val="clear"/>
            <w:tcMar>
              <w:top w:type="dxa" w:w="120"/>
              <w:left w:type="dxa" w:w="200"/>
              <w:bottom w:type="dxa" w:w="120"/>
              <w:right w:type="dxa" w:w="120"/>
            </w:tcMar>
          </w:tcPr>
          <w:p>
            <w:pPr>
              <w:spacing w:after="80" w:before="0"/>
            </w:pPr>
            <w:r>
              <w:rPr>
                <w:rFonts w:ascii="Arial" w:cs="Arial" w:eastAsia="Arial" w:hAnsi="Arial"/>
                <w:b/>
                <w:bCs/>
                <w:color w:val="B22234"/>
                <w:sz w:val="20"/>
                <w:szCs w:val="20"/>
              </w:rPr>
              <w:t xml:space="preserve">US Seed Round: $750,000 – $2,000,000 USD</w:t>
            </w:r>
          </w:p>
          <w:p>
            <w:pPr>
              <w:spacing w:after="120" w:before="60"/>
            </w:pPr>
            <w:r>
              <w:rPr>
                <w:rFonts w:ascii="Arial" w:cs="Arial" w:eastAsia="Arial" w:hAnsi="Arial"/>
                <w:color w:val="1A1A2A"/>
                <w:sz w:val="22"/>
                <w:szCs w:val="22"/>
              </w:rPr>
              <w:t xml:space="preserve">Use of funds (illustrative at $1.5M):</w:t>
            </w:r>
          </w:p>
          <w:p>
            <w:pPr>
              <w:pStyle w:val="ListParagraph"/>
              <w:numPr>
                <w:ilvl w:val="0"/>
                <w:numId w:val="2"/>
              </w:numPr>
              <w:spacing w:after="40" w:before="40"/>
            </w:pPr>
            <w:r>
              <w:rPr>
                <w:rFonts w:ascii="Arial" w:cs="Arial" w:eastAsia="Arial" w:hAnsi="Arial"/>
                <w:color w:val="1A1A2A"/>
                <w:sz w:val="22"/>
                <w:szCs w:val="22"/>
              </w:rPr>
              <w:t xml:space="preserve">HIPAA / SOC 2 / HITRUST certification program: $180,000 — 12%</w:t>
            </w:r>
          </w:p>
          <w:p>
            <w:pPr>
              <w:pStyle w:val="ListParagraph"/>
              <w:numPr>
                <w:ilvl w:val="0"/>
                <w:numId w:val="2"/>
              </w:numPr>
              <w:spacing w:after="40" w:before="40"/>
            </w:pPr>
            <w:r>
              <w:rPr>
                <w:rFonts w:ascii="Arial" w:cs="Arial" w:eastAsia="Arial" w:hAnsi="Arial"/>
                <w:color w:val="1A1A2A"/>
                <w:sz w:val="22"/>
                <w:szCs w:val="22"/>
              </w:rPr>
              <w:t xml:space="preserve">US enterprise sales team (VP Sales Healthcare + Compliance Counsel): $300,000 — 20%</w:t>
            </w:r>
          </w:p>
          <w:p>
            <w:pPr>
              <w:pStyle w:val="ListParagraph"/>
              <w:numPr>
                <w:ilvl w:val="0"/>
                <w:numId w:val="2"/>
              </w:numPr>
              <w:spacing w:after="40" w:before="40"/>
            </w:pPr>
            <w:r>
              <w:rPr>
                <w:rFonts w:ascii="Arial" w:cs="Arial" w:eastAsia="Arial" w:hAnsi="Arial"/>
                <w:color w:val="1A1A2A"/>
                <w:sz w:val="22"/>
                <w:szCs w:val="22"/>
              </w:rPr>
              <w:t xml:space="preserve">Product development (native apps, HIPAA LMS integrations, FINRA/CLE modules): $375,000 — 25%</w:t>
            </w:r>
          </w:p>
          <w:p>
            <w:pPr>
              <w:pStyle w:val="ListParagraph"/>
              <w:numPr>
                <w:ilvl w:val="0"/>
                <w:numId w:val="2"/>
              </w:numPr>
              <w:spacing w:after="40" w:before="40"/>
            </w:pPr>
            <w:r>
              <w:rPr>
                <w:rFonts w:ascii="Arial" w:cs="Arial" w:eastAsia="Arial" w:hAnsi="Arial"/>
                <w:color w:val="1A1A2A"/>
                <w:sz w:val="22"/>
                <w:szCs w:val="22"/>
              </w:rPr>
              <w:t xml:space="preserve">US marketing + conference presence (HIMSS, ATD, EDUCAUSE, ABA TechShow): $225,000 — 15%</w:t>
            </w:r>
          </w:p>
          <w:p>
            <w:pPr>
              <w:pStyle w:val="ListParagraph"/>
              <w:numPr>
                <w:ilvl w:val="0"/>
                <w:numId w:val="2"/>
              </w:numPr>
              <w:spacing w:after="40" w:before="40"/>
            </w:pPr>
            <w:r>
              <w:rPr>
                <w:rFonts w:ascii="Arial" w:cs="Arial" w:eastAsia="Arial" w:hAnsi="Arial"/>
                <w:color w:val="1A1A2A"/>
                <w:sz w:val="22"/>
                <w:szCs w:val="22"/>
              </w:rPr>
              <w:t xml:space="preserve">ML Engineer + Customer Success hire: $225,000 — 15%</w:t>
            </w:r>
          </w:p>
          <w:p>
            <w:pPr>
              <w:pStyle w:val="ListParagraph"/>
              <w:numPr>
                <w:ilvl w:val="0"/>
                <w:numId w:val="2"/>
              </w:numPr>
              <w:spacing w:after="40" w:before="40"/>
            </w:pPr>
            <w:r>
              <w:rPr>
                <w:rFonts w:ascii="Arial" w:cs="Arial" w:eastAsia="Arial" w:hAnsi="Arial"/>
                <w:color w:val="1A1A2A"/>
                <w:sz w:val="22"/>
                <w:szCs w:val="22"/>
              </w:rPr>
              <w:t xml:space="preserve">Infrastructure, security audits, FedRAMP assessment: $120,000 — 8%</w:t>
            </w:r>
          </w:p>
          <w:p>
            <w:pPr>
              <w:pStyle w:val="ListParagraph"/>
              <w:numPr>
                <w:ilvl w:val="0"/>
                <w:numId w:val="2"/>
              </w:numPr>
              <w:spacing w:after="40" w:before="40"/>
            </w:pPr>
            <w:r>
              <w:rPr>
                <w:rFonts w:ascii="Arial" w:cs="Arial" w:eastAsia="Arial" w:hAnsi="Arial"/>
                <w:color w:val="1A1A2A"/>
                <w:sz w:val="22"/>
                <w:szCs w:val="22"/>
              </w:rPr>
              <w:t xml:space="preserve">Legal, IP, Delaware incorporation, FedRAMP prep: $75,000 — 5%</w:t>
            </w:r>
          </w:p>
        </w:tc>
      </w:tr>
    </w:tbl>
    <w:p>
      <w:r>
        <w:br w:type="page"/>
      </w:r>
    </w:p>
    <w:p>
      <w:pPr>
        <w:pStyle w:val="Heading1"/>
        <w:pBdr>
          <w:bottom w:val="single" w:color="B22234" w:sz="8" w:space="4"/>
        </w:pBdr>
        <w:spacing w:after="120" w:before="360"/>
      </w:pPr>
      <w:r>
        <w:rPr>
          <w:rFonts w:ascii="Arial" w:cs="Arial" w:eastAsia="Arial" w:hAnsi="Arial"/>
          <w:b/>
          <w:bCs/>
          <w:color w:val="0D1B2A"/>
          <w:sz w:val="32"/>
          <w:szCs w:val="32"/>
        </w:rPr>
        <w:t xml:space="preserve">11.  Exit Strategy and Return Pathway</w:t>
      </w:r>
    </w:p>
    <w:p>
      <w:pPr>
        <w:pStyle w:val="Heading2"/>
        <w:spacing w:after="80" w:before="260"/>
      </w:pPr>
      <w:r>
        <w:rPr>
          <w:rFonts w:ascii="Arial" w:cs="Arial" w:eastAsia="Arial" w:hAnsi="Arial"/>
          <w:b/>
          <w:bCs/>
          <w:color w:val="B22234"/>
          <w:sz w:val="26"/>
          <w:szCs w:val="26"/>
        </w:rPr>
        <w:t xml:space="preserve">11a.  Strategic Exit Opportunities</w:t>
      </w:r>
    </w:p>
    <w:p>
      <w:pPr>
        <w:spacing w:after="120" w:before="60"/>
      </w:pPr>
      <w:r>
        <w:rPr>
          <w:rFonts w:ascii="Arial" w:cs="Arial" w:eastAsia="Arial" w:hAnsi="Arial"/>
          <w:color w:val="1A1A2A"/>
          <w:sz w:val="22"/>
          <w:szCs w:val="22"/>
        </w:rPr>
        <w:t xml:space="preserve">PRCM’s compliance posture and multi-AI architecture make it an attractive acquisition target for companies seeking to enter or strengthen their position in the US regulated training market: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000"/>
      </w:tblGrid>
      <w:tr>
        <w:tc>
          <w:tcPr>
            <w:tcW w:type="dxa" w:w="216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Potential Acquirer</w:t>
            </w:r>
          </w:p>
        </w:tc>
        <w:tc>
          <w:tcPr>
            <w:tcW w:type="dxa" w:w="432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Strategic Rationale</w:t>
            </w:r>
          </w:p>
        </w:tc>
        <w:tc>
          <w:tcPr>
            <w:tcW w:type="dxa" w:w="3000"/>
            <w:tcBorders>
              <w:top w:val="single" w:color="B22234" w:sz="1"/>
              <w:left w:val="single" w:color="B22234" w:sz="1"/>
              <w:bottom w:val="single" w:color="B22234" w:sz="1"/>
              <w:right w:val="single" w:color="B22234"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Precedent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Pearson</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Largest US educational publisher — needs adaptive learning AI and HIPAA posture for healthcare vertical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Pearson acquired Mondly (language learning) 2022</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McGraw-Hill / Cengage</w:t>
            </w:r>
          </w:p>
        </w:tc>
        <w:tc>
          <w:tcPr>
            <w:tcW w:type="dxa" w:w="43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Core textbook companies pivoting to digital learning — lack adaptive AI layer</w:t>
            </w:r>
          </w:p>
        </w:tc>
        <w:tc>
          <w:tcPr>
            <w:tcW w:type="dxa" w:w="30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Cengage acquired Infosec IQ 2021</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Chegg</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Study platform with 7M subscribers — lacks HIPAA compliance and adaptive scheduling science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Chegg acquired Mathway 2020</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Duolingo</w:t>
            </w:r>
          </w:p>
        </w:tc>
        <w:tc>
          <w:tcPr>
            <w:tcW w:type="dxa" w:w="43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Consumer platform with institutional ambitions — lacks HIPAA, FERPA, adaptive testing</w:t>
            </w:r>
          </w:p>
        </w:tc>
        <w:tc>
          <w:tcPr>
            <w:tcW w:type="dxa" w:w="30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Duolingo IPO 2021 at $5.7B</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Oracle / Cornerstone</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Enterprise HR and LMS platforms — lack adaptive learning science and AI coaching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Oracle acquired Taleo 2012</w:t>
            </w:r>
          </w:p>
        </w:tc>
      </w:tr>
      <w:tr>
        <w:tc>
          <w:tcPr>
            <w:tcW w:type="dxa" w:w="216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left"/>
            </w:pPr>
            <w:r>
              <w:rPr>
                <w:rFonts w:ascii="Arial" w:cs="Arial" w:eastAsia="Arial" w:hAnsi="Arial"/>
                <w:b w:val="false"/>
                <w:bCs w:val="false"/>
                <w:color w:val="1A1A2A"/>
                <w:sz w:val="20"/>
                <w:szCs w:val="20"/>
              </w:rPr>
              <w:t xml:space="preserve">Hospital system (strategic)</w:t>
            </w:r>
          </w:p>
        </w:tc>
        <w:tc>
          <w:tcPr>
            <w:tcW w:type="dxa" w:w="432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Large hospital networks building internal training infrastructure (Epic, Mayo, Cleveland Clinic)</w:t>
            </w:r>
          </w:p>
        </w:tc>
        <w:tc>
          <w:tcPr>
            <w:tcW w:type="dxa" w:w="3000"/>
            <w:tcBorders>
              <w:top w:val="single" w:color="E2E8F0" w:sz="1"/>
              <w:left w:val="single" w:color="E2E8F0" w:sz="1"/>
              <w:bottom w:val="single" w:color="E2E8F0" w:sz="1"/>
              <w:right w:val="single" w:color="E2E8F0" w:sz="1"/>
            </w:tcBorders>
            <w:shd w:fill="FFF8F8" w:val="clear"/>
            <w:tcMar>
              <w:top w:type="dxa" w:w="80"/>
              <w:left w:type="dxa" w:w="120"/>
              <w:bottom w:type="dxa" w:w="80"/>
              <w:right w:type="dxa" w:w="120"/>
            </w:tcMar>
          </w:tcPr>
          <w:p>
            <w:pPr>
              <w:jc w:val="center"/>
            </w:pPr>
            <w:r>
              <w:rPr>
                <w:rFonts w:ascii="Arial" w:cs="Arial" w:eastAsia="Arial" w:hAnsi="Arial"/>
                <w:b w:val="false"/>
                <w:bCs w:val="false"/>
                <w:color w:val="1A1A2A"/>
                <w:sz w:val="20"/>
                <w:szCs w:val="20"/>
              </w:rPr>
              <w:t xml:space="preserve">Epic building internal education tools</w:t>
            </w:r>
          </w:p>
        </w:tc>
      </w:tr>
    </w:tbl>
    <w:p>
      <w:pPr>
        <w:spacing w:after="80" w:before="0"/>
      </w:pPr>
      <w:r>
        <w:t xml:space="preserve"/>
      </w:r>
    </w:p>
    <w:p>
      <w:pPr>
        <w:pStyle w:val="Heading2"/>
        <w:spacing w:after="80" w:before="260"/>
      </w:pPr>
      <w:r>
        <w:rPr>
          <w:rFonts w:ascii="Arial" w:cs="Arial" w:eastAsia="Arial" w:hAnsi="Arial"/>
          <w:b/>
          <w:bCs/>
          <w:color w:val="B22234"/>
          <w:sz w:val="26"/>
          <w:szCs w:val="26"/>
        </w:rPr>
        <w:t xml:space="preserve">11b.  IPO Pathway</w:t>
      </w:r>
    </w:p>
    <w:p>
      <w:pPr>
        <w:spacing w:after="120" w:before="60"/>
      </w:pPr>
      <w:r>
        <w:rPr>
          <w:rFonts w:ascii="Arial" w:cs="Arial" w:eastAsia="Arial" w:hAnsi="Arial"/>
          <w:color w:val="1A1A2A"/>
          <w:sz w:val="22"/>
          <w:szCs w:val="22"/>
        </w:rPr>
        <w:t xml:space="preserve">At $10M+ ARR with 3+ years of HIPAA-governed growth data and a defensible compliance moat, PRCM would be positioned for a growth equity round (Series B) or public market listing targeting the EdTech / HealthTech crossover investor category. Duolingo’s 2021 IPO at $5.7B demonstrates public market appetite for EdTech with defensible metrics; PRCM’s compliance differentiation addresses the institutional market Duolingo cannot enter.</w:t>
      </w:r>
    </w:p>
    <w:p>
      <w:pPr>
        <w:spacing w:after="80" w:before="0"/>
      </w:pPr>
      <w:r>
        <w:t xml:space="preserve"/>
      </w:r>
    </w:p>
    <w:p>
      <w:pPr>
        <w:pBdr>
          <w:top w:val="single" w:color="E2E8F0" w:sz="4" w:space="4"/>
        </w:pBdr>
        <w:spacing w:after="120" w:before="200"/>
      </w:pPr>
      <w:r>
        <w:rPr>
          <w:rFonts w:ascii="Arial" w:cs="Arial" w:eastAsia="Arial" w:hAnsi="Arial"/>
          <w:color w:val="64748B"/>
          <w:sz w:val="18"/>
          <w:szCs w:val="18"/>
        </w:rPr>
        <w:t xml:space="preserve">Full financial model, monthly cash flow statements, HIPAA architecture documentation, and SOC 2 readiness assessment available on request. Contact: info@diatasso.net  ·  Investor portal: https://prcm-asrl-pitch.netlify.app/prcm_investor_portal.html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spacing w:before="80"/>
      <w:jc w:val="center"/>
    </w:pPr>
    <w:r>
      <w:rPr>
        <w:rFonts w:ascii="Arial" w:cs="Arial" w:eastAsia="Arial" w:hAnsi="Arial"/>
        <w:color w:val="64748B"/>
        <w:sz w:val="16"/>
        <w:szCs w:val="16"/>
      </w:rPr>
      <w:t xml:space="preserve">Confidential — PRCM | ASRL US Business Plan  |  info@diatasso.net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left w:val="none"/>
            <w:bottom w:val="none"/>
            <w:right w:val="none"/>
          </w:tcBorders>
          <w:tcMar>
            <w:top w:type="dxa" w:w="0"/>
            <w:left w:type="dxa" w:w="0"/>
            <w:bottom w:type="dxa" w:w="80"/>
            <w:right w:type="dxa" w:w="0"/>
          </w:tcMar>
        </w:tcPr>
        <w:p>
          <w:r>
            <w:rPr>
              <w:rFonts w:ascii="Arial" w:cs="Arial" w:eastAsia="Arial" w:hAnsi="Arial"/>
              <w:b/>
              <w:bCs/>
              <w:color w:val="B22234"/>
              <w:sz w:val="20"/>
              <w:szCs w:val="20"/>
            </w:rPr>
            <w:t xml:space="preserve">PRCM | ASRL</w:t>
          </w:r>
          <w:r>
            <w:rPr>
              <w:rFonts w:ascii="Arial" w:cs="Arial" w:eastAsia="Arial" w:hAnsi="Arial"/>
              <w:color w:val="64748B"/>
              <w:sz w:val="18"/>
              <w:szCs w:val="18"/>
            </w:rPr>
            <w:t xml:space="preserve">  ·  US Market Business Plan</w:t>
          </w:r>
        </w:p>
      </w:tc>
      <w:tc>
        <w:tcPr>
          <w:tcW w:type="dxa" w:w="3960"/>
          <w:tcBorders>
            <w:top w:val="none"/>
            <w:left w:val="none"/>
            <w:bottom w:val="none"/>
            <w:right w:val="none"/>
          </w:tcBorders>
          <w:tcMar>
            <w:top w:type="dxa" w:w="0"/>
            <w:left w:type="dxa" w:w="0"/>
            <w:bottom w:type="dxa" w:w="80"/>
            <w:right w:type="dxa" w:w="0"/>
          </w:tcMar>
        </w:tcPr>
        <w:p>
          <w:pPr>
            <w:jc w:val="right"/>
          </w:pPr>
          <w:r>
            <w:rPr>
              <w:rFonts w:ascii="Arial" w:cs="Arial" w:eastAsia="Arial" w:hAnsi="Arial"/>
              <w:color w:val="64748B"/>
              <w:sz w:val="18"/>
              <w:szCs w:val="18"/>
            </w:rPr>
            <w:t xml:space="preserve">Diatasso PRCM™  |  Confidential  |  2026</w:t>
          </w:r>
        </w:p>
      </w:tc>
    </w:tr>
  </w:tbl>
  <w:p>
    <w:pPr>
      <w:pBdr>
        <w:bottom w:val="single" w:color="B22234" w:sz="6"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60"/>
      <w:outlineLvl w:val="1"/>
    </w:pPr>
    <w:rPr>
      <w:rFonts w:ascii="Arial" w:cs="Arial" w:eastAsia="Arial" w:hAnsi="Arial"/>
      <w:b/>
      <w:bCs/>
      <w:color w:val="B222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2026-05-26T17:08:21.209Z</dcterms:created>
  <dcterms:modified xsi:type="dcterms:W3CDTF">2026-05-26T17:08:21.209Z</dcterms:modified>
</cp:coreProperties>
</file>

<file path=docProps/custom.xml><?xml version="1.0" encoding="utf-8"?>
<Properties xmlns="http://schemas.openxmlformats.org/officeDocument/2006/custom-properties" xmlns:vt="http://schemas.openxmlformats.org/officeDocument/2006/docPropsVTypes"/>
</file>