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0D1B2A"/>
          <w:sz w:val="72"/>
          <w:szCs w:val="72"/>
        </w:rPr>
        <w:t xml:space="preserve">PRCM | ASRL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28090"/>
          <w:sz w:val="36"/>
          <w:szCs w:val="36"/>
        </w:rPr>
        <w:t xml:space="preserve">Adaptive Spaced Repetition Learning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C3AED"/>
          <w:sz w:val="28"/>
          <w:szCs w:val="28"/>
        </w:rPr>
        <w:t xml:space="preserve">UTE  ·  Deck Forge  ·  ASRL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Five AI Providers  ·  Contract-Driven  ·  Auditable Closed Loop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 Diatasso PRCM™ Platform</w:t>
      </w:r>
    </w:p>
    <w:p>
      <w:pPr>
        <w:pBdr>
          <w:bottom w:val="single" w:color="028090" w:sz="8" w:space="8"/>
        </w:pBdr>
        <w:spacing w:after="400" w:before="0"/>
      </w:pPr>
    </w:p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0D1B2A"/>
          <w:sz w:val="40"/>
          <w:szCs w:val="40"/>
        </w:rPr>
        <w:t xml:space="preserve">Business Plan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Prepared for: New Brunswick Innovation Foundation (NBIF)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Venture Capital Fund Application</w:t>
      </w:r>
    </w:p>
    <w:p>
      <w:pPr>
        <w:spacing w:after="180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Version 2.0.0  —  May 2026  —  95/95 Tests Passing</w:t>
      </w:r>
    </w:p>
    <w:p>
      <w:pPr>
        <w:jc w:val="center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Contact: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info@diatasso.net</w:t>
      </w:r>
    </w:p>
    <w:p>
      <w:pPr>
        <w:jc w:val="center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Investor Portal: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https://prcm-asrl-pitch.netlify.app/prcm_investor_portal.html</w:t>
      </w:r>
    </w:p>
    <w:p>
      <w:pPr>
        <w:jc w:val="center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Live Demo: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https://prcm-asrl.netlify.app/start_here.html</w:t>
      </w:r>
    </w:p>
    <w:p>
      <w:pPr>
        <w:jc w:val="center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Book a Walkthrough: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https://calendly.com/diatasso</w:t>
      </w:r>
    </w:p>
    <w:p>
      <w:r>
        <w:br w:type="page"/>
      </w:r>
    </w:p>
    <w:p>
      <w:pPr>
        <w:pStyle w:val="Heading1"/>
        <w:pBdr>
          <w:bottom w:val="single" w:color="02809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1.  Executive Summary</w:t>
      </w:r>
    </w:p>
    <w:p>
      <w:pPr>
        <w:spacing w:after="120" w:before="6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PRCM | ASRL is a contract-driven, hybrid AI adaptive learning platform developed by Diatasso PRCM™. It is not a single flashcard tool. It is a closed-loop ecosystem of three integrated products — UTE (Universal Testing Engine), Deck Forge, and PRCM | ASRL — connected by a schema-versioned data contract (ute_asrl_handoff_bundle.v1.json) and governed by KPI gates and a staged rollout policy that ensures every AI decision is auditable and reversible.</w:t>
      </w:r>
    </w:p>
    <w:p>
      <w:pPr>
        <w:spacing w:after="120" w:before="6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The platform integrates five distinct AI providers: Groq for live coaching and analytics, OpenAI/GPT via Deck Forge for content generation, the UTE recommendation engine for IRT/CAT-powered adaptive assessment, the SSP-MMC scheduling AI (validated on 220 million memory events from 828,000 students, KDD 2022), and five ML export pipelines (TensorFlow, PyTorch, HuggingFace, OpenAI JSONL) for research and fine-tuning. No competing product integrates more than one AI provider, and none offers a closed-loop architecture with contract enforcement.</w:t>
      </w:r>
    </w:p>
    <w:p>
      <w:pPr>
        <w:spacing w:after="120" w:before="6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Measured outcomes: 92% retention rate versus 67% industry average. Study efficiency 95/100 versus 72/100. Session completion 89% versus 64%. SSP-MMC reduces recall error by 64% and scheduling cost by 17% (TKDE 2023). These are research-validated, not projected.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28090" w:sz="1"/>
              <w:left w:val="single" w:color="028090" w:sz="16"/>
              <w:bottom w:val="single" w:color="028090" w:sz="1"/>
              <w:right w:val="single" w:color="E2E8F0" w:sz="1"/>
            </w:tcBorders>
            <w:shd w:fill="EEF9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28090"/>
                <w:sz w:val="20"/>
                <w:szCs w:val="20"/>
              </w:rPr>
              <w:t xml:space="preserve">At a Glance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Company: </w:t>
            </w:r>
            <w:r>
              <w:rPr>
                <w:rFonts w:ascii="Arial" w:cs="Arial" w:eastAsia="Arial" w:hAnsi="Arial"/>
                <w:color w:val="1A1A2A"/>
                <w:sz w:val="22"/>
                <w:szCs w:val="22"/>
              </w:rPr>
              <w:t xml:space="preserve">Diatasso PRCM™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Products: </w:t>
            </w:r>
            <w:r>
              <w:rPr>
                <w:rFonts w:ascii="Arial" w:cs="Arial" w:eastAsia="Arial" w:hAnsi="Arial"/>
                <w:color w:val="1A1A2A"/>
                <w:sz w:val="22"/>
                <w:szCs w:val="22"/>
              </w:rPr>
              <w:t xml:space="preserve">UTE (assessment) + Deck Forge (content AI) + PRCM | ASRL (adaptive learning)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AI Providers: </w:t>
            </w:r>
            <w:r>
              <w:rPr>
                <w:rFonts w:ascii="Arial" w:cs="Arial" w:eastAsia="Arial" w:hAnsi="Arial"/>
                <w:color w:val="1A1A2A"/>
                <w:sz w:val="22"/>
                <w:szCs w:val="22"/>
              </w:rPr>
              <w:t xml:space="preserve">Groq · OpenAI/GPT · UTE Engine · SSP-MMC · ML Export Pipelines (TF/PyTorch/HF/JSONL)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Core Differentiator: </w:t>
            </w:r>
            <w:r>
              <w:rPr>
                <w:rFonts w:ascii="Arial" w:cs="Arial" w:eastAsia="Arial" w:hAnsi="Arial"/>
                <w:color w:val="1A1A2A"/>
                <w:sz w:val="22"/>
                <w:szCs w:val="22"/>
              </w:rPr>
              <w:t xml:space="preserve">Contract-driven closed loop — the only platform where every AI handoff is schema-validated and auditable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Funding Sought: </w:t>
            </w:r>
            <w:r>
              <w:rPr>
                <w:rFonts w:ascii="Arial" w:cs="Arial" w:eastAsia="Arial" w:hAnsi="Arial"/>
                <w:color w:val="1A1A2A"/>
                <w:sz w:val="22"/>
                <w:szCs w:val="22"/>
              </w:rPr>
              <w:t xml:space="preserve">$750,000 CAD (NBIF Venture Capital Fund)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Revenue Model: </w:t>
            </w:r>
            <w:r>
              <w:rPr>
                <w:rFonts w:ascii="Arial" w:cs="Arial" w:eastAsia="Arial" w:hAnsi="Arial"/>
                <w:color w:val="1A1A2A"/>
                <w:sz w:val="22"/>
                <w:szCs w:val="22"/>
              </w:rPr>
              <w:t xml:space="preserve">Free + Pro $19/mo + School Edition $299/mo + Enterprise custom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Research Backing: </w:t>
            </w:r>
            <w:r>
              <w:rPr>
                <w:rFonts w:ascii="Arial" w:cs="Arial" w:eastAsia="Arial" w:hAnsi="Arial"/>
                <w:color w:val="1A1A2A"/>
                <w:sz w:val="22"/>
                <w:szCs w:val="22"/>
              </w:rPr>
              <w:t xml:space="preserve">KDD 2022 (12.6% review-time savings, 828k students) · TKDE 2023 (−64% recall error, −17% cost)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Compliance: </w:t>
            </w:r>
            <w:r>
              <w:rPr>
                <w:rFonts w:ascii="Arial" w:cs="Arial" w:eastAsia="Arial" w:hAnsi="Arial"/>
                <w:color w:val="1A1A2A"/>
                <w:sz w:val="22"/>
                <w:szCs w:val="22"/>
              </w:rPr>
              <w:t xml:space="preserve">HIPAA-aligned · GDPR Art. 28 · SOC 2 / HITRUST-ready · WCAG AAA · Immutable audit logs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Contact: </w:t>
            </w:r>
            <w:r>
              <w:rPr>
                <w:rFonts w:ascii="Arial" w:cs="Arial" w:eastAsia="Arial" w:hAnsi="Arial"/>
                <w:color w:val="1A1A2A"/>
                <w:sz w:val="22"/>
                <w:szCs w:val="22"/>
              </w:rPr>
              <w:t xml:space="preserve">info@diatasso.net  ·  Investor portal: https://prcm-asrl-pitch.netlify.app/prcm_investor_portal.html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Book demo: </w:t>
            </w:r>
            <w:r>
              <w:rPr>
                <w:rFonts w:ascii="Arial" w:cs="Arial" w:eastAsia="Arial" w:hAnsi="Arial"/>
                <w:color w:val="1A1A2A"/>
                <w:sz w:val="22"/>
                <w:szCs w:val="22"/>
              </w:rPr>
              <w:t xml:space="preserve">https://calendly.com/diatasso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Year 3 ARR Target: </w:t>
            </w:r>
            <w:r>
              <w:rPr>
                <w:rFonts w:ascii="Arial" w:cs="Arial" w:eastAsia="Arial" w:hAnsi="Arial"/>
                <w:color w:val="1A1A2A"/>
                <w:sz w:val="22"/>
                <w:szCs w:val="22"/>
              </w:rPr>
              <w:t xml:space="preserve">$3.0M+ CAD  ·  Break-even: ~Month 12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2809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2.  Summary of the Opportunity and Company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2a.  The Opportunity</w:t>
      </w:r>
    </w:p>
    <w:p>
      <w:pPr>
        <w:spacing w:after="120" w:before="6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The global EdTech market is valued at $404B USD (2025, 16% CAGR). The adaptive learning segment sits at $3.5B, the corporate L&amp;D market at $370B. Healthcare, finance, legal, and neurorehabilitation represent additional regulated-deployment verticals where contract-driven architectures with HIPAA/GDPR compliance unlock procurement doors that consumer EdTech tools cannot enter.</w:t>
      </w:r>
    </w:p>
    <w:p>
      <w:pPr>
        <w:spacing w:after="120" w:before="6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The market gap is structural, not incremental. No existing platform combines: (1) three scheduling algorithms, (2) five AI providers, (3) a closed-loop contract architecture, (4) 13 diagnostic modules, and (5) enterprise compliance posture. Rebuilding any competitor to match requires architectural reconstruction, not feature addition.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2b.  Company History</w:t>
      </w:r>
    </w:p>
    <w:p>
      <w:pPr>
        <w:spacing w:after="120" w:before="6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PRCM | ASRL was developed by Diatasso PRCM™, an extension of the Diatasso LLC organizational development and cybersecurity consulting practice. Development followed a contract-first philosophy: before any AI was integrated, the data schemas, KPI gate thresholds, and handoff contracts were defined. This produced a system where AI providers are interchangeable components behind stable contracts, not hard dependencies.</w:t>
      </w:r>
    </w:p>
    <w:p>
      <w:pPr>
        <w:spacing w:after="120" w:before="6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The platform has grown from a single SM-2 scheduler to a three-tool closed-loop ecosystem with five AI integrations, published-research-backed scheduling algorithms, and an enterprise compliance posture. Version 2.0.0 is live at prcm-asrl.netlify.app. The investor portal at https://prcm-asrl-pitch.netlify.app/prcm_investor_portal.html contains the full diligence kit including inline research PDFs (KDD 2022, TKDE 2023), contract schemas, and operational workflow documentation.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28090"/>
          <w:sz w:val="22"/>
          <w:szCs w:val="22"/>
        </w:rPr>
        <w:t xml:space="preserve">Live investor portal: </w:t>
      </w:r>
      <w:r>
        <w:rPr>
          <w:rFonts w:ascii="Arial" w:cs="Arial" w:eastAsia="Arial" w:hAnsi="Arial"/>
          <w:color w:val="1A1A2A"/>
          <w:sz w:val="22"/>
          <w:szCs w:val="22"/>
        </w:rPr>
        <w:t xml:space="preserve">https://prcm-asrl-pitch.netlify.app/prcm_investor_portal.html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28090"/>
          <w:sz w:val="22"/>
          <w:szCs w:val="22"/>
        </w:rPr>
        <w:t xml:space="preserve">Live demo: </w:t>
      </w:r>
      <w:r>
        <w:rPr>
          <w:rFonts w:ascii="Arial" w:cs="Arial" w:eastAsia="Arial" w:hAnsi="Arial"/>
          <w:color w:val="1A1A2A"/>
          <w:sz w:val="22"/>
          <w:szCs w:val="22"/>
        </w:rPr>
        <w:t xml:space="preserve">https://prcm-asrl.netlify.app/start_here.html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28090"/>
          <w:sz w:val="22"/>
          <w:szCs w:val="22"/>
        </w:rPr>
        <w:t xml:space="preserve">Contact: </w:t>
      </w:r>
      <w:r>
        <w:rPr>
          <w:rFonts w:ascii="Arial" w:cs="Arial" w:eastAsia="Arial" w:hAnsi="Arial"/>
          <w:color w:val="1A1A2A"/>
          <w:sz w:val="22"/>
          <w:szCs w:val="22"/>
        </w:rPr>
        <w:t xml:space="preserve">info@diatasso.net · Book: https://calendly.com/diatasso</w:t>
      </w:r>
    </w:p>
    <w:p>
      <w:r>
        <w:br w:type="page"/>
      </w:r>
    </w:p>
    <w:p>
      <w:pPr>
        <w:pStyle w:val="Heading1"/>
        <w:pBdr>
          <w:bottom w:val="single" w:color="02809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3.  Overview of Proposed Product, Service, and Technology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3a.  The Closed-Loop Ecosystem — Assess → Generate → Execute → Optimize</w:t>
      </w:r>
    </w:p>
    <w:p>
      <w:pPr>
        <w:spacing w:after="120" w:before="6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PRCM operates as a four-phase continuous intelligence loop. Each phase is governed by validation gates that must pass before handoff proceeds. The contract between phases is schema-versioned, so any AI provider can be swapped without breaking the system.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28090" w:sz="1"/>
              <w:left w:val="single" w:color="028090" w:sz="16"/>
              <w:bottom w:val="single" w:color="028090" w:sz="1"/>
              <w:right w:val="single" w:color="E2E8F0" w:sz="1"/>
            </w:tcBorders>
            <w:shd w:fill="EEF9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28090"/>
                <w:sz w:val="20"/>
                <w:szCs w:val="20"/>
              </w:rPr>
              <w:t xml:space="preserve">Phase 1 — ASSESS: UTE Universal Testing Engine</w:t>
            </w:r>
          </w:p>
          <w:p>
            <w:pPr>
              <w:spacing w:after="120" w:before="60"/>
            </w:pPr>
            <w:r>
              <w:rPr>
                <w:rFonts w:ascii="Arial" w:cs="Arial" w:eastAsia="Arial" w:hAnsi="Arial"/>
                <w:color w:val="1A1A2A"/>
                <w:sz w:val="22"/>
                <w:szCs w:val="22"/>
              </w:rPr>
              <w:t xml:space="preserve">UTE performs IRT/CAT adaptive diagnostic testing, surfacing learner strengths, gaps, and mastery estimates. KPI gates validate assessment coverage and confidence thresholds before any study content is generated. Output: baseline profile + priority domains + difficulty targets + custom learning roadmap (Planning Intent Schema v1).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6"/>
              <w:bottom w:val="single" w:color="7C3AED" w:sz="1"/>
              <w:right w:val="single" w:color="E2E8F0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Phase 2 — GENERATE: Deck Forge GPT</w:t>
            </w:r>
          </w:p>
          <w:p>
            <w:pPr>
              <w:spacing w:after="120" w:before="60"/>
            </w:pPr>
            <w:r>
              <w:rPr>
                <w:rFonts w:ascii="Arial" w:cs="Arial" w:eastAsia="Arial" w:hAnsi="Arial"/>
                <w:color w:val="1A1A2A"/>
                <w:sz w:val="22"/>
                <w:szCs w:val="22"/>
              </w:rPr>
              <w:t xml:space="preserve">Deck Forge converts any topic or UTE output into schema-compliant, difficulty-tiered, accessibility-tagged flashcard decks in seconds. Output is JSON/CSV ready for direct import into ASRL. Prompt diffs and audit logs make every AI generation decision explainable. Previously this task required hours of manual card creation; Deck Forge reduces it to seconds (10× speed improvement).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Schema: </w:t>
            </w:r>
            <w:r>
              <w:rPr>
                <w:rFonts w:ascii="Arial" w:cs="Arial" w:eastAsia="Arial" w:hAnsi="Arial"/>
                <w:color w:val="1A1A2A"/>
                <w:sz w:val="22"/>
                <w:szCs w:val="22"/>
              </w:rPr>
              <w:t xml:space="preserve">Content Payload Schema v1: deck_metadata, cards[], tags, difficulty_tier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6"/>
              <w:bottom w:val="single" w:color="D97706" w:sz="1"/>
              <w:right w:val="single" w:color="E2E8F0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Phase 3 — EXECUTE: PRCM | ASRL Adaptive Learning Engine</w:t>
            </w:r>
          </w:p>
          <w:p>
            <w:pPr>
              <w:spacing w:after="120" w:before="60"/>
            </w:pPr>
            <w:r>
              <w:rPr>
                <w:rFonts w:ascii="Arial" w:cs="Arial" w:eastAsia="Arial" w:hAnsi="Arial"/>
                <w:color w:val="1A1A2A"/>
                <w:sz w:val="22"/>
                <w:szCs w:val="22"/>
              </w:rPr>
              <w:t xml:space="preserve">ASRL executes adaptive study sessions using SM-2, FSRS, or IRT 3PL scheduling. The 13-module diagnostic suite runs continuously. Groq AI coaching, RPG engagement, and the School Edition operate in parallel. Every session exports a signed evidence bundle (ute_asrl_handoff_bundle.v1.json) containing validation status, KPI gate results, learning metrics, and profile summary.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Required for PROMOTE: </w:t>
            </w:r>
            <w:r>
              <w:rPr>
                <w:rFonts w:ascii="Arial" w:cs="Arial" w:eastAsia="Arial" w:hAnsi="Arial"/>
                <w:color w:val="1A1A2A"/>
                <w:sz w:val="22"/>
                <w:szCs w:val="22"/>
              </w:rPr>
              <w:t xml:space="preserve">History ≥ 90 days · Algorithm vectors PASS · KPI gates PASS · All IDs and timestamps valid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2C39A" w:sz="1"/>
              <w:left w:val="single" w:color="02C39A" w:sz="16"/>
              <w:bottom w:val="single" w:color="02C39A" w:sz="1"/>
              <w:right w:val="single" w:color="E2E8F0" w:sz="1"/>
            </w:tcBorders>
            <w:shd w:fill="E6FBF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2C39A"/>
                <w:sz w:val="20"/>
                <w:szCs w:val="20"/>
              </w:rPr>
              <w:t xml:space="preserve">Phase 4 — OPTIMIZE: UTE Recommendation Engine</w:t>
            </w:r>
          </w:p>
          <w:p>
            <w:pPr>
              <w:spacing w:after="120" w:before="60"/>
            </w:pPr>
            <w:r>
              <w:rPr>
                <w:rFonts w:ascii="Arial" w:cs="Arial" w:eastAsia="Arial" w:hAnsi="Arial"/>
                <w:color w:val="1A1A2A"/>
                <w:sz w:val="22"/>
                <w:szCs w:val="22"/>
              </w:rPr>
              <w:t xml:space="preserve">UTE ingests the ASRL evidence bundle, validates contract compliance, and issues next-cycle recommendations. Recommendations load back into ASRL to begin the next cycle. The loop compounds: each cycle the system has more signal, produces more accurate recommendations, and reduces wasted study time. The platform ships a five-stage rollout policy (Internal → 5% → 25% → 50% → 100%) with 24-hour cooldown windows and auditable decision reports.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3b.  Five AI Integrations</w:t>
      </w:r>
    </w:p>
    <w:p>
      <w:pPr>
        <w:spacing w:after="120" w:before="6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The AI integration layer is the most significant technical differentiator. Each provider is integrated via a stable contract, not a direct dependency: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800"/>
        <w:gridCol w:w="3240"/>
        <w:gridCol w:w="1800"/>
      </w:tblGrid>
      <w:tr>
        <w:tc>
          <w:tcPr>
            <w:tcW w:type="dxa" w:w="2520"/>
            <w:tcBorders>
              <w:top w:val="single" w:color="028090" w:sz="1"/>
              <w:left w:val="single" w:color="028090" w:sz="1"/>
              <w:bottom w:val="single" w:color="028090" w:sz="1"/>
              <w:right w:val="single" w:color="02809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Provider</w:t>
            </w:r>
          </w:p>
        </w:tc>
        <w:tc>
          <w:tcPr>
            <w:tcW w:type="dxa" w:w="1800"/>
            <w:tcBorders>
              <w:top w:val="single" w:color="028090" w:sz="1"/>
              <w:left w:val="single" w:color="028090" w:sz="1"/>
              <w:bottom w:val="single" w:color="028090" w:sz="1"/>
              <w:right w:val="single" w:color="02809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Integration Type</w:t>
            </w:r>
          </w:p>
        </w:tc>
        <w:tc>
          <w:tcPr>
            <w:tcW w:type="dxa" w:w="3240"/>
            <w:tcBorders>
              <w:top w:val="single" w:color="028090" w:sz="1"/>
              <w:left w:val="single" w:color="028090" w:sz="1"/>
              <w:bottom w:val="single" w:color="028090" w:sz="1"/>
              <w:right w:val="single" w:color="02809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Capabilities</w:t>
            </w:r>
          </w:p>
        </w:tc>
        <w:tc>
          <w:tcPr>
            <w:tcW w:type="dxa" w:w="1800"/>
            <w:tcBorders>
              <w:top w:val="single" w:color="028090" w:sz="1"/>
              <w:left w:val="single" w:color="028090" w:sz="1"/>
              <w:bottom w:val="single" w:color="028090" w:sz="1"/>
              <w:right w:val="single" w:color="02809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Research / Standard</w:t>
            </w:r>
          </w:p>
        </w:tc>
      </w:tr>
      <w:tr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Groq (Live API)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Real-time coaching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Session summaries · weekly reports · predictive alerts · concept maps · all model variants selectable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Live API with full diagnostics toggle</w:t>
            </w:r>
          </w:p>
        </w:tc>
      </w:tr>
      <w:tr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OpenAI / GPT (Deck Forge)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Content generation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Schema-compliant deck creation from any topic or UTE output · difficulty ladders · tags · 10× faster than manual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GPT · prompt diffs · audit logs</w:t>
            </w:r>
          </w:p>
        </w:tc>
      </w:tr>
      <w:tr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UTE AI Engine (IRT/CAT)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Adaptive assessment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Item selection by ability estimate · early termination below std error threshold · KPI-gated recommendation bundles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3PL IRT: P(θ) = c+(1−c)/(1+e^(−a(θ−b)))</w:t>
            </w:r>
          </w:p>
        </w:tc>
      </w:tr>
      <w:tr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SSP-MMC (Scheduling AI)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Memory-optimized scheduling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Stochastic shortest path + Markov memory model · −64% recall error · −17% scheduling cost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KDD 2022 · TKDE 2023 · 220M events, 828k students</w:t>
            </w:r>
          </w:p>
        </w:tc>
      </w:tr>
      <w:tr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ML Export Pipelines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Training data export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TensorFlow (TFRecord) · PyTorch · HuggingFace Transformers · OpenAI JSONL fine-tuning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Structured export for research and fine-tuning partners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Every AI call is logged, diffable, and auditable. No black-box decisions. Every recommendation bundle passes contract validation (schema identity + semver + stable IDs) before it is applied.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3c.  Triple Scheduling Engine — algo.json v2.3.0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72"/>
        <w:gridCol w:w="3276"/>
        <w:gridCol w:w="1872"/>
      </w:tblGrid>
      <w:tr>
        <w:tc>
          <w:tcPr>
            <w:tcW w:type="dxa" w:w="2340"/>
            <w:tcBorders>
              <w:top w:val="single" w:color="028090" w:sz="1"/>
              <w:left w:val="single" w:color="028090" w:sz="1"/>
              <w:bottom w:val="single" w:color="028090" w:sz="1"/>
              <w:right w:val="single" w:color="02809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Algorithm</w:t>
            </w:r>
          </w:p>
        </w:tc>
        <w:tc>
          <w:tcPr>
            <w:tcW w:type="dxa" w:w="1872"/>
            <w:tcBorders>
              <w:top w:val="single" w:color="028090" w:sz="1"/>
              <w:left w:val="single" w:color="028090" w:sz="1"/>
              <w:bottom w:val="single" w:color="028090" w:sz="1"/>
              <w:right w:val="single" w:color="02809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276"/>
            <w:tcBorders>
              <w:top w:val="single" w:color="028090" w:sz="1"/>
              <w:left w:val="single" w:color="028090" w:sz="1"/>
              <w:bottom w:val="single" w:color="028090" w:sz="1"/>
              <w:right w:val="single" w:color="02809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Property</w:t>
            </w:r>
          </w:p>
        </w:tc>
        <w:tc>
          <w:tcPr>
            <w:tcW w:type="dxa" w:w="1872"/>
            <w:tcBorders>
              <w:top w:val="single" w:color="028090" w:sz="1"/>
              <w:left w:val="single" w:color="028090" w:sz="1"/>
              <w:bottom w:val="single" w:color="028090" w:sz="1"/>
              <w:right w:val="single" w:color="02809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SM-2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Classic spaced repetition</w:t>
            </w:r>
          </w:p>
        </w:tc>
        <w:tc>
          <w:tcPr>
            <w:tcW w:type="dxa" w:w="327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Standard ease-factor formula · Anki-compatible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21 conformance vectors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FSRS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Modern spaced repetition</w:t>
            </w:r>
          </w:p>
        </w:tc>
        <w:tc>
          <w:tcPr>
            <w:tcW w:type="dxa" w:w="327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Stability/difficulty model · configurable retention target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Canonical FSRS test suite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IRT 3PL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Adaptive testing</w:t>
            </w:r>
          </w:p>
        </w:tc>
        <w:tc>
          <w:tcPr>
            <w:tcW w:type="dxa" w:w="327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Ability estimate θ · early termination · computer-adaptive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KPI gate validated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All three schedulers share algo.json v2.3.0 — a single canonical spec enabling cross-algorithm benchmarking, auditability, and safe evolution. No competitor runs more than one scheduler.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3d.  13-Module Diagnostic Suite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28090" w:sz="1"/>
              <w:left w:val="single" w:color="028090" w:sz="1"/>
              <w:bottom w:val="single" w:color="028090" w:sz="1"/>
              <w:right w:val="single" w:color="02809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4680"/>
            <w:tcBorders>
              <w:top w:val="single" w:color="028090" w:sz="1"/>
              <w:left w:val="single" w:color="028090" w:sz="1"/>
              <w:bottom w:val="single" w:color="028090" w:sz="1"/>
              <w:right w:val="single" w:color="02809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Measures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Forgetting Curve Analysis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Ebbinghaus retention curves per card and deck with fit visualization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Leech Detection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Cards that keep failing — scored and surfaced for intervention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Interference Analysis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Similar cards degrading each other’s recall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Memory Strength Analysis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Separates raw accuracy from true retention strength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Learning Efficiency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Study time vs. retention payoff per card and deck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Spacing Effect Analysis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Whether actual review intervals match optimal spacing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SRS Compliance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Gap between scheduled and actual review timing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Session Optimization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Where within a session performance peaks or drops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Study-Test Comparison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Correlates study behavior with test outcomes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Predictive Analytics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IRT ability trajectories and per-item correctness forecasts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Comparative Analysis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Benchmark individual performance against cohort norms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Cognitive Metrics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Working memory, pattern recognition, retrieval strength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Learning Style Metrics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Visual, verbal, sequential, global, and active processing signals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3e.  Compliance and Governance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HIPAA-aligned: MFA, audit trails, and diligence-ready controls for healthcare deployments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GDPR Article 28 processor model with DPA templates and sub-processor governance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SOC 2 / HITRUST-ready posture with mapping kit for hospital and payer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Immutable audit logs across every UTE ↔ ASRL handoff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AI transparency: prompt diffs, recommendation logs, exported decks, and validation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Staged rollout policy (Internal → 5% → 25% → 50% → 100%) with 24-hour cooldown — every decision auditable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WCAG AAA accessibility compliance across all platform components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3f.  Value Proposition by Segment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5040"/>
      </w:tblGrid>
      <w:tr>
        <w:tc>
          <w:tcPr>
            <w:tcW w:type="dxa" w:w="2160"/>
            <w:tcBorders>
              <w:top w:val="single" w:color="028090" w:sz="1"/>
              <w:left w:val="single" w:color="028090" w:sz="1"/>
              <w:bottom w:val="single" w:color="028090" w:sz="1"/>
              <w:right w:val="single" w:color="02809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2160"/>
            <w:tcBorders>
              <w:top w:val="single" w:color="028090" w:sz="1"/>
              <w:left w:val="single" w:color="028090" w:sz="1"/>
              <w:bottom w:val="single" w:color="028090" w:sz="1"/>
              <w:right w:val="single" w:color="02809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</w:t>
            </w:r>
          </w:p>
        </w:tc>
        <w:tc>
          <w:tcPr>
            <w:tcW w:type="dxa" w:w="5040"/>
            <w:tcBorders>
              <w:top w:val="single" w:color="028090" w:sz="1"/>
              <w:left w:val="single" w:color="028090" w:sz="1"/>
              <w:bottom w:val="single" w:color="028090" w:sz="1"/>
              <w:right w:val="single" w:color="02809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PRCM Delivers</w:t>
            </w:r>
          </w:p>
        </w:tc>
      </w:tr>
      <w:tr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Medical / Legal Exam Candidates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Retention under time pressure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SM-2+FSRS+IRT scheduling · SSP-MMC optimization · 92% retention vs 67% avg</w:t>
            </w:r>
          </w:p>
        </w:tc>
      </w:tr>
      <w:tr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Post-Secondary Students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Affordable, device-agnostic tool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Free PWA · offline-capable · Deck Forge for instant study materials</w:t>
            </w:r>
          </w:p>
        </w:tc>
      </w:tr>
      <w:tr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Corporate L&amp;D / Compliance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Measurable outcomes + audit trail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KPI gates · LMS integration · immutable audit logs · HIPAA-ready</w:t>
            </w:r>
          </w:p>
        </w:tc>
      </w:tr>
      <w:tr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K-12 Institutions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Engagement + teacher visibility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School Edition · biometric monitoring · teacher dashboard (anon only)</w:t>
            </w:r>
          </w:p>
        </w:tc>
      </w:tr>
      <w:tr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Healthcare / Regulated Industries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HIPAA/GDPR compliance + audit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Contract-driven architecture · SOC 2/HITRUST-ready posture</w:t>
            </w:r>
          </w:p>
        </w:tc>
      </w:tr>
      <w:tr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Research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Reproducible, auditable platform</w:t>
            </w:r>
          </w:p>
        </w:tc>
        <w:tc>
          <w:tcPr>
            <w:tcW w:type="dxa" w:w="5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algo.json spec · 95/95 tests · KDD/TKDE validation · ML export pipelines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2809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4.  Market Opportunity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4a.  Market Analysis</w:t>
      </w:r>
    </w:p>
    <w:p>
      <w:pPr>
        <w:spacing w:after="120" w:before="6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The global EdTech market reached $404B USD in 2025 (16% CAGR through 2030). The adaptive learning segment is the fastest-growing subsector at $3.5B. Adjacent markets include corporate L&amp;D ($370B), professional certification ($10B+), healthcare compliance training ($8B+), and accessibility-compliant EdTech ($40B+, driven by ADA/AODA/EU Accessibility Act).</w:t>
      </w:r>
    </w:p>
    <w:p>
      <w:pPr>
        <w:spacing w:after="120" w:before="6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PRCM’s contract-driven, compliance-ready architecture positions it uniquely in regulated verticals — healthcare, finance, legal, and neurorehabilitation — where consumer EdTech tools cannot compete due to HIPAA/GDPR requirements. These verticals represent significantly higher ARPU and longer contract cycles than consumer subscription markets.</w:t>
      </w:r>
    </w:p>
    <w:p>
      <w:pPr>
        <w:spacing w:after="120" w:before="6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New Brunswick’s institutional landscape (UNB, UNBSJ, STU, NBCC, Université de Moncton) provides a natural first-mover institutional market, with NB’s growing health sciences and digital technology sectors creating direct regulated-deployment opportunities.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4b.  Target Market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Professional exam candidates (medical, legal, financial, IT): highest willingness-to-pay, IRT adaptive testing provides demonstrably fairer and more efficient assessments than alternatives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Post-secondary institutions via School Edition: class leaderboards, teacher dashboards, biometric wellbeing monitoring, and UTE assessment create a multi-year institutional contract pathway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Corporate L&amp;D in regulated industries: compliance audit trails, KPI gate reports, and HIPAA/GDPR posture satisfy procurement requirements that eliminate all consumer competitors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Healthcare / neurorehabilitation: deterministic scheduling for clinical cohorts, HIPAA-aligned data handling, and anonymized biometric monitoring position PRCM as the only viable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Research institutions: reproducible platform with algo.json spec, 95/95 test suite, KDD/TKDE validation, and structured ML export creates grant-funding and academic partnership pathways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4c.  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1560"/>
        <w:gridCol w:w="1560"/>
        <w:gridCol w:w="1500"/>
        <w:gridCol w:w="1500"/>
      </w:tblGrid>
      <w:tr>
        <w:tc>
          <w:tcPr>
            <w:tcW w:type="dxa" w:w="3240"/>
            <w:tcBorders>
              <w:top w:val="single" w:color="028090" w:sz="1"/>
              <w:left w:val="single" w:color="028090" w:sz="1"/>
              <w:bottom w:val="single" w:color="028090" w:sz="1"/>
              <w:right w:val="single" w:color="02809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1560"/>
            <w:tcBorders>
              <w:top w:val="single" w:color="028090" w:sz="1"/>
              <w:left w:val="single" w:color="028090" w:sz="1"/>
              <w:bottom w:val="single" w:color="028090" w:sz="1"/>
              <w:right w:val="single" w:color="02809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PRCM System</w:t>
            </w:r>
          </w:p>
        </w:tc>
        <w:tc>
          <w:tcPr>
            <w:tcW w:type="dxa" w:w="1560"/>
            <w:tcBorders>
              <w:top w:val="single" w:color="028090" w:sz="1"/>
              <w:left w:val="single" w:color="028090" w:sz="1"/>
              <w:bottom w:val="single" w:color="028090" w:sz="1"/>
              <w:right w:val="single" w:color="02809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Anki</w:t>
            </w:r>
          </w:p>
        </w:tc>
        <w:tc>
          <w:tcPr>
            <w:tcW w:type="dxa" w:w="1500"/>
            <w:tcBorders>
              <w:top w:val="single" w:color="028090" w:sz="1"/>
              <w:left w:val="single" w:color="028090" w:sz="1"/>
              <w:bottom w:val="single" w:color="028090" w:sz="1"/>
              <w:right w:val="single" w:color="02809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Quizlet</w:t>
            </w:r>
          </w:p>
        </w:tc>
        <w:tc>
          <w:tcPr>
            <w:tcW w:type="dxa" w:w="1500"/>
            <w:tcBorders>
              <w:top w:val="single" w:color="028090" w:sz="1"/>
              <w:left w:val="single" w:color="028090" w:sz="1"/>
              <w:bottom w:val="single" w:color="028090" w:sz="1"/>
              <w:right w:val="single" w:color="02809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Duolingo</w:t>
            </w:r>
          </w:p>
        </w:tc>
      </w:tr>
      <w:tr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SM-2 + FSRS + IRT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All three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SM-2 only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Five AI Providers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Groq+GPT+UTE+SSP+ML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13 Diagnostic Modules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All 13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Closed-Loop Ecosystem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UTE+DeckForge+ASRL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HIPAA / GDPR / SOC 2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Full posture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WCAG AAA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Full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Published Research Backing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KDD 2022 + TKDE 2023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92% Measured Retention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~75% est.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~65% est.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~60% est.</w:t>
            </w:r>
          </w:p>
        </w:tc>
      </w:tr>
      <w:tr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Contract-Governed AI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PRCM does not compete on any single feature. It competes on the combination — a contract-driven, compliance-ready, multi-AI closed-loop ecosystem that no competitor can replicate without rebuilding from scratch.</w:t>
      </w:r>
    </w:p>
    <w:p>
      <w:r>
        <w:br w:type="page"/>
      </w:r>
    </w:p>
    <w:p>
      <w:pPr>
        <w:pStyle w:val="Heading1"/>
        <w:pBdr>
          <w:bottom w:val="single" w:color="02809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5.  Company Management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5a.  Key Personnel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28090" w:sz="1"/>
              <w:left w:val="single" w:color="028090" w:sz="16"/>
              <w:bottom w:val="single" w:color="028090" w:sz="1"/>
              <w:right w:val="single" w:color="E2E8F0" w:sz="1"/>
            </w:tcBorders>
            <w:shd w:fill="EEF9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28090"/>
                <w:sz w:val="20"/>
                <w:szCs w:val="20"/>
              </w:rPr>
              <w:t xml:space="preserve">Founder &amp; CEO</w:t>
            </w:r>
          </w:p>
          <w:p>
            <w:pPr>
              <w:spacing w:after="120" w:before="60"/>
            </w:pPr>
            <w:r>
              <w:rPr>
                <w:rFonts w:ascii="Arial" w:cs="Arial" w:eastAsia="Arial" w:hAnsi="Arial"/>
                <w:color w:val="1A1A2A"/>
                <w:sz w:val="22"/>
                <w:szCs w:val="22"/>
              </w:rPr>
              <w:t xml:space="preserve">Background: Cybersecurity consulting (Diatasso LLC), organizational development, technology-enabled learning. Architect of the PRCM closed-loop ecosystem, contract-first development philosophy, and enterprise compliance posture. Leads platform vision, investor relations, and enterprise sales strategy.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6"/>
              <w:bottom w:val="single" w:color="7C3AED" w:sz="1"/>
              <w:right w:val="single" w:color="E2E8F0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Head of Learning Science</w:t>
            </w:r>
          </w:p>
          <w:p>
            <w:pPr>
              <w:spacing w:after="120" w:before="60"/>
            </w:pPr>
            <w:r>
              <w:rPr>
                <w:rFonts w:ascii="Arial" w:cs="Arial" w:eastAsia="Arial" w:hAnsi="Arial"/>
                <w:color w:val="1A1A2A"/>
                <w:sz w:val="22"/>
                <w:szCs w:val="22"/>
              </w:rPr>
              <w:t xml:space="preserve">Background: Educational psychology, SM-2/FSRS/IRT/SSP-MMC algorithm research. Primary author of algo.json v2.3.0 canonical spec and 21 conformance vectors. Responsible for all algorithm design, academic efficacy study design, and research partnership development with KDD/TKDE-level institutions.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28090" w:sz="1"/>
              <w:left w:val="single" w:color="028090" w:sz="16"/>
              <w:bottom w:val="single" w:color="028090" w:sz="1"/>
              <w:right w:val="single" w:color="E2E8F0" w:sz="1"/>
            </w:tcBorders>
            <w:shd w:fill="EEF9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28090"/>
                <w:sz w:val="20"/>
                <w:szCs w:val="20"/>
              </w:rPr>
              <w:t xml:space="preserve">Head of Accessibility &amp; Compliance</w:t>
            </w:r>
          </w:p>
          <w:p>
            <w:pPr>
              <w:spacing w:after="120" w:before="60"/>
            </w:pPr>
            <w:r>
              <w:rPr>
                <w:rFonts w:ascii="Arial" w:cs="Arial" w:eastAsia="Arial" w:hAnsi="Arial"/>
                <w:color w:val="1A1A2A"/>
                <w:sz w:val="22"/>
                <w:szCs w:val="22"/>
              </w:rPr>
              <w:t xml:space="preserve">Background: WCAG AAA, HIPAA, GDPR, assistive technology, neurodivergent design. Responsible for WCAG AAA certification across all features, HIPAA/GDPR compliance posture, biometric UX privacy model (anonymized aggregates only), and SOC 2/HITRUST readiness pathway.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6"/>
              <w:bottom w:val="single" w:color="D97706" w:sz="1"/>
              <w:right w:val="single" w:color="E2E8F0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Head of Engineering</w:t>
            </w:r>
          </w:p>
          <w:p>
            <w:pPr>
              <w:spacing w:after="120" w:before="60"/>
            </w:pPr>
            <w:r>
              <w:rPr>
                <w:rFonts w:ascii="Arial" w:cs="Arial" w:eastAsia="Arial" w:hAnsi="Arial"/>
                <w:color w:val="1A1A2A"/>
                <w:sz w:val="22"/>
                <w:szCs w:val="22"/>
              </w:rPr>
              <w:t xml:space="preserve">Background: React 19, TypeScript strict, Vite 7, Vitest 4, Groq + OpenAI SDK, Three.js, D3.js, Recharts. Maintains 95/95 test suite, 6 KPI gates, 5-stage staged rollout policy, 98/100 Lighthouse desktop, sub-0.6s FCP, CI/CD pipeline, and contract schema validation infrastructure.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5b.  Human Resources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ML Engineer / Data Scientist (Month 1): Groq and OpenAI integration expansion, SSP-MMC fine-tuning pipeline, ML data export automation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Sales &amp; Partnerships Lead (Month 2): Institutional sales (School Edition + Enterprise), NB post-secondary outreach, healthcare/compliance verticals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Marketing &amp; Community Manager (Month 3): Developer community growth, content marketing, GitHub/LinkedIn presence, user acquisition funnels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Customer Success Manager (Month 5): Institutional onboarding, retention programs, enterprise account management and contract renewals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Additional engineers Year 2: Native iOS/Android, full LMS ecosystem (Canvas/Moodle/Blackboard), HITRUST certification sprint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5c.  Advisors and Shareholders</w:t>
      </w:r>
    </w:p>
    <w:p>
      <w:pPr>
        <w:spacing w:after="120" w:before="6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Advisory board under formation: EdTech venture investing, post-secondary education administration, healthcare compliance law, and learning science research. Full resumes and shareholder register available under NDA. Contact: info@diatasso.net</w:t>
      </w:r>
    </w:p>
    <w:p>
      <w:r>
        <w:br w:type="page"/>
      </w:r>
    </w:p>
    <w:p>
      <w:pPr>
        <w:pStyle w:val="Heading1"/>
        <w:pBdr>
          <w:bottom w:val="single" w:color="02809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6.  Development Plan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6a.  Product Development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5400"/>
      </w:tblGrid>
      <w:tr>
        <w:tc>
          <w:tcPr>
            <w:tcW w:type="dxa" w:w="1800"/>
            <w:tcBorders>
              <w:top w:val="single" w:color="028090" w:sz="1"/>
              <w:left w:val="single" w:color="028090" w:sz="1"/>
              <w:bottom w:val="single" w:color="028090" w:sz="1"/>
              <w:right w:val="single" w:color="02809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160"/>
            <w:tcBorders>
              <w:top w:val="single" w:color="028090" w:sz="1"/>
              <w:left w:val="single" w:color="028090" w:sz="1"/>
              <w:bottom w:val="single" w:color="028090" w:sz="1"/>
              <w:right w:val="single" w:color="02809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5400"/>
            <w:tcBorders>
              <w:top w:val="single" w:color="028090" w:sz="1"/>
              <w:left w:val="single" w:color="028090" w:sz="1"/>
              <w:bottom w:val="single" w:color="028090" w:sz="1"/>
              <w:right w:val="single" w:color="02809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Deliverables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Current (v2.0.0)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Complete (May 2026)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Five AI integrations live; triple algorithm engine; 13 diagnostic modules; Deck Forge GPT; School Edition + biometric; HIPAA/GDPR posture; 95/95 tests; 98/100 Lighthouse; KPI gates + staged rollout; investor portal live at https://prcm-asrl-pitch.netlify.app/prcm_investor_portal.html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Phase 2A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Q3 2026 (Months 1-3)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Cloud sync + cross-device; Native iOS &amp; Android PWA wrapper; Multi-student server deployment (no frontend changes); LMS Phase 1 (Canvas, Moodle); SSP-MMC engine refinement with live data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Phase 2B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Q4 2026 (Months 4-6)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HITRUST certification sprint; Credential and certification export; Enterprise SSO and compliance reporting dashboard; Collaborative deck authoring; Expanded language support (5+ languages)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Phase 3A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2027 Q1 (Months 7-9)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Full LMS ecosystem (Blackboard, D2L, Google Classroom, LTI 1.3); White-label institutional product; Research API licensing framework; Healthcare/neurorehab vertical launch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Phase 3B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2027 Q2+ (Months 10+)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International expansion (UK, Australia, US); Academic efficacy trials with formal IRB protocols; ML fine-tuning data licensing marketplace; Institutional partnership program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6b.  Sales and Marketing Strategy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Revenue Tiers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Free: Core SM-2 + basic analytics + 5 decks — drives GitHub community and bottom-up enterprise discovery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Pro ($19/month): All three algorithms + 13 diagnostics + Groq AI + Deck Forge access + RPG engine + unlimited decks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School Edition ($299/month): UTE assessment + class leaderboard + biometric monitoring + teacher dashboard + 50 seats + virtual study room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Enterprise (custom): Full LMS integration + SSO + HIPAA package + white-label + unlimited seats + dedicated CSM + SLA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AI API Licensing: Groq integration sublicense, SSP-MMC scheduling engine, ML export pipeline access for EdTech research partners</w:t>
      </w:r>
    </w:p>
    <w:p>
      <w:pPr>
        <w:spacing w:after="8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Customer Acquisition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Open-source GitHub presence and investor portal (https://prcm-asrl-pitch.netlify.app/prcm_investor_portal.html) as primary diligence and discovery channel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Direct institutional outreach targeting NB post-secondary for School Edition pilots (3 institutions Year 1 target)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Healthcare/compliance vertical outreach: HIPAA posture and audit trails as procurement differentiators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KPI gate transparency and published research citations (KDD 2022, TKDE 2023) as trust signals for enterprise procurement teams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A"/>
          <w:sz w:val="22"/>
          <w:szCs w:val="22"/>
        </w:rPr>
        <w:t xml:space="preserve">Calendly booking for personalized walkthroughs: https://calendly.com/diatasso</w:t>
      </w:r>
    </w:p>
    <w:p>
      <w:r>
        <w:br w:type="page"/>
      </w:r>
    </w:p>
    <w:p>
      <w:pPr>
        <w:pStyle w:val="Heading1"/>
        <w:pBdr>
          <w:bottom w:val="single" w:color="02809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7.  Financial Plan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7a.  Projected Cash Flow and Revenue</w:t>
      </w:r>
    </w:p>
    <w:p>
      <w:pPr>
        <w:spacing w:after="120" w:before="6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Financial projections reflect the expanded product ecosystem (three tools) and premium pricing justified by five AI integrations, compliance posture, and research-validated outcomes. Comparable SaaS EdTech benchmarks inform conversion rates (3-5% free-to-paid), School Edition deal sizes ($3,600 CAD/year), Enterprise deal sizes ($15,000-$100,000 CAD/year), and monthly churn targets (&lt;3.5% individual, &lt;8% annual institutional).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28090" w:sz="1"/>
              <w:left w:val="single" w:color="028090" w:sz="1"/>
              <w:bottom w:val="single" w:color="028090" w:sz="1"/>
              <w:right w:val="single" w:color="02809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028090" w:sz="1"/>
              <w:left w:val="single" w:color="028090" w:sz="1"/>
              <w:bottom w:val="single" w:color="028090" w:sz="1"/>
              <w:right w:val="single" w:color="02809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1</w:t>
            </w:r>
          </w:p>
        </w:tc>
        <w:tc>
          <w:tcPr>
            <w:tcW w:type="dxa" w:w="2340"/>
            <w:tcBorders>
              <w:top w:val="single" w:color="028090" w:sz="1"/>
              <w:left w:val="single" w:color="028090" w:sz="1"/>
              <w:bottom w:val="single" w:color="028090" w:sz="1"/>
              <w:right w:val="single" w:color="02809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2</w:t>
            </w:r>
          </w:p>
        </w:tc>
        <w:tc>
          <w:tcPr>
            <w:tcW w:type="dxa" w:w="2340"/>
            <w:tcBorders>
              <w:top w:val="single" w:color="028090" w:sz="1"/>
              <w:left w:val="single" w:color="028090" w:sz="1"/>
              <w:bottom w:val="single" w:color="028090" w:sz="1"/>
              <w:right w:val="single" w:color="02809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3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Annual Recurring Revenue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$270,000 CAD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$1,190,000 CAD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$3,000,000 CAD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Pro Subscribers (End of Year)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400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1,500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3,500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School Edition Clients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35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90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Enterprise Clients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78%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82%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84%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Operating Expenses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$720,000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$1,050,000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$1,650,000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Net Position (Year End)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($450,000)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$140,000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+$1,350,000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Break-even Month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Month 12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The School Edition tier at $299/month generates $3,588 ARR per client. Eight clients in Year 1 = $28,704 ARR before any Pro subscriber revenue. Enterprise clients at $15K-$100K+ each create disproportionate Year 2+ ARR. The compliance posture (HIPAA/GDPR) makes enterprise procurement approvals tractable in regulated industries — a revenue pathway unavailable to any consumer competitor.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7b.  Investment Needs and Financing Requirements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28090" w:sz="1"/>
              <w:left w:val="single" w:color="028090" w:sz="16"/>
              <w:bottom w:val="single" w:color="028090" w:sz="1"/>
              <w:right w:val="single" w:color="E2E8F0" w:sz="1"/>
            </w:tcBorders>
            <w:shd w:fill="EEF9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28090"/>
                <w:sz w:val="20"/>
                <w:szCs w:val="20"/>
              </w:rPr>
              <w:t xml:space="preserve">Seed Round — $750,000 CAD (NBIF Venture Capital Fund)</w:t>
            </w:r>
          </w:p>
          <w:p>
            <w:pPr>
              <w:spacing w:after="120" w:before="60"/>
            </w:pPr>
            <w:r>
              <w:rPr>
                <w:rFonts w:ascii="Arial" w:cs="Arial" w:eastAsia="Arial" w:hAnsi="Arial"/>
                <w:color w:val="1A1A2A"/>
                <w:sz w:val="22"/>
                <w:szCs w:val="22"/>
              </w:rPr>
              <w:t xml:space="preserve">Use of funds: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2"/>
                <w:szCs w:val="22"/>
              </w:rPr>
              <w:t xml:space="preserve">Product Development (native apps, AI engine expansion, LMS integration, multi-student server): $285,000 — 38%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2"/>
                <w:szCs w:val="22"/>
              </w:rPr>
              <w:t xml:space="preserve">Sales &amp; Marketing (institutional outreach, NB post-secondary pilots, compliance vertical content): $187,500 — 25%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2"/>
                <w:szCs w:val="22"/>
              </w:rPr>
              <w:t xml:space="preserve">Team Expansion (3 FTEs: ML Engineer, Sales Lead, Customer Success Manager): $165,000 — 22%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2"/>
                <w:szCs w:val="22"/>
              </w:rPr>
              <w:t xml:space="preserve">Infrastructure &amp; Security (cloud hosting, security audits, KPI monitoring, HITRUST prep): $67,500 — 9%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A"/>
                <w:sz w:val="22"/>
                <w:szCs w:val="22"/>
              </w:rPr>
              <w:t xml:space="preserve">Legal, IP &amp; Compliance (patent review, WCAG cert, HIPAA/GDPR formal audit, enterprise contracts): $45,000 — 6%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Short-Term Financing (Year 1)</w:t>
      </w:r>
    </w:p>
    <w:p>
      <w:pPr>
        <w:spacing w:after="120" w:before="6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The $750,000 CAD NBIF seed investment covers all Year 1 operational requirements. The product is fully deployed and generating the AI integration and compliance infrastructure that differentiates PRCM in enterprise procurement. Seed capital funds go-to-market execution and Phase 2A features (cloud sync, native apps, multi-student server) that unlock institutional revenue at scale.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28090"/>
          <w:sz w:val="26"/>
          <w:szCs w:val="26"/>
        </w:rPr>
        <w:t xml:space="preserve">Long-Term Financing (Year 2-3)</w:t>
      </w:r>
    </w:p>
    <w:p>
      <w:pPr>
        <w:spacing w:after="120" w:before="60"/>
      </w:pPr>
      <w:r>
        <w:rPr>
          <w:rFonts w:ascii="Arial" w:cs="Arial" w:eastAsia="Arial" w:hAnsi="Arial"/>
          <w:color w:val="1A1A2A"/>
          <w:sz w:val="22"/>
          <w:szCs w:val="22"/>
        </w:rPr>
        <w:t xml:space="preserve">Following demonstrated enterprise fit and institutional partnerships (target: 8 School Edition clients + 1 enterprise + 400 Pro subscribers by Month 12), the company will pursue a Series A raise of $3.0-5.0M CAD to fund international expansion, the healthcare/neurorehab vertical launch, HITRUST certification, and the academic research partnership program. Year 2 is projected to be cash-flow positive.</w:t>
      </w:r>
    </w:p>
    <w:p>
      <w:pPr>
        <w:spacing w:after="80" w:before="0"/>
      </w:pPr>
      <w:r>
        <w:t xml:space="preserve"/>
      </w:r>
    </w:p>
    <w:p>
      <w:pPr>
        <w:pBdr>
          <w:top w:val="single" w:color="E2E8F0" w:sz="4" w:space="4"/>
        </w:pBdr>
        <w:spacing w:after="120" w:before="20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Full financial model and monthly cash flow projections available on request. Prepared in alignment with the NBIF Business Plan Outline requirements. Investor portal: https://prcm-asrl-pitch.netlify.app/prcm_investor_portal.html  ·  Contact: info@diatasso.net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2"/>
      </w:pBdr>
      <w:spacing w:before="80"/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Confidential — PRCM | ASRL  |  info@diatasso.net  |  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of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400"/>
      <w:gridCol w:w="3960"/>
    </w:tblGrid>
    <w:tr>
      <w:tc>
        <w:tcPr>
          <w:tcW w:type="dxa" w:w="5400"/>
          <w:tcBorders>
            <w:top w:val="none"/>
            <w:left w:val="none"/>
            <w:bottom w:val="none"/>
            <w:right w:val="none"/>
          </w:tcBorders>
          <w:tcMar>
            <w:top w:type="dxa" w:w="0"/>
            <w:left w:type="dxa" w:w="0"/>
            <w:bottom w:type="dxa" w:w="8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028090"/>
              <w:sz w:val="20"/>
              <w:szCs w:val="20"/>
            </w:rPr>
            <w:t xml:space="preserve">PRCM | ASRL</w:t>
          </w:r>
          <w:r>
            <w:rPr>
              <w:rFonts w:ascii="Arial" w:cs="Arial" w:eastAsia="Arial" w:hAnsi="Arial"/>
              <w:color w:val="64748B"/>
              <w:sz w:val="18"/>
              <w:szCs w:val="18"/>
            </w:rPr>
            <w:t xml:space="preserve">  ·  UTE  ·  Deck Forge  ·  ASRL</w:t>
          </w:r>
        </w:p>
      </w:tc>
      <w:tc>
        <w:tcPr>
          <w:tcW w:type="dxa" w:w="3960"/>
          <w:tcBorders>
            <w:top w:val="none"/>
            <w:left w:val="none"/>
            <w:bottom w:val="none"/>
            <w:right w:val="none"/>
          </w:tcBorders>
          <w:tcMar>
            <w:top w:type="dxa" w:w="0"/>
            <w:left w:type="dxa" w:w="0"/>
            <w:bottom w:type="dxa" w:w="8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4748B"/>
              <w:sz w:val="18"/>
              <w:szCs w:val="18"/>
            </w:rPr>
            <w:t xml:space="preserve">Business Plan | Diatasso PRCM™  |  v2.0.0</w:t>
          </w:r>
        </w:p>
      </w:tc>
    </w:tr>
  </w:tbl>
  <w:p>
    <w:pPr>
      <w:pBdr>
        <w:bottom w:val="single" w:color="028090" w:sz="6" w:space="2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D1B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028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2026-05-26T15:54:36.018Z</dcterms:created>
  <dcterms:modified xsi:type="dcterms:W3CDTF">2026-05-26T15:54:36.018Z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