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1B2A"/>
          <w:sz w:val="80"/>
          <w:szCs w:val="80"/>
        </w:rPr>
        <w:t xml:space="preserve">PRCM | ASRL</w:t>
      </w:r>
    </w:p>
    <w:p>
      <w:pPr>
        <w:spacing w:after="80" w:before="0"/>
        <w:jc w:val="center"/>
      </w:pPr>
      <w:r>
        <w:rPr>
          <w:rFonts w:ascii="Arial" w:cs="Arial" w:eastAsia="Arial" w:hAnsi="Arial"/>
          <w:color w:val="0038B8"/>
          <w:sz w:val="36"/>
          <w:szCs w:val="36"/>
        </w:rPr>
        <w:t xml:space="preserve">Adaptive Spaced Repetition Learning</w:t>
      </w:r>
    </w:p>
    <w:p>
      <w:pPr>
        <w:spacing w:after="600" w:before="0"/>
        <w:jc w:val="center"/>
      </w:pPr>
      <w:r>
        <w:rPr>
          <w:rFonts w:ascii="Arial" w:cs="Arial" w:eastAsia="Arial" w:hAnsi="Arial"/>
          <w:color w:val="64748B"/>
          <w:sz w:val="24"/>
          <w:szCs w:val="24"/>
        </w:rPr>
        <w:t xml:space="preserve">UTE  ·  Deck Forge  ·  ASRL  ·  Five AI Providers</w:t>
      </w:r>
    </w:p>
    <w:p>
      <w:pPr>
        <w:pBdr>
          <w:bottom w:val="single" w:color="0038B8" w:sz="8" w:space="8"/>
        </w:pBdr>
        <w:spacing w:after="400" w:before="0"/>
      </w:pPr>
    </w:p>
    <w:p>
      <w:pPr>
        <w:spacing w:after="120" w:before="400"/>
        <w:jc w:val="center"/>
      </w:pPr>
      <w:r>
        <w:rPr>
          <w:rFonts w:ascii="Arial" w:cs="Arial" w:eastAsia="Arial" w:hAnsi="Arial"/>
          <w:b/>
          <w:bCs/>
          <w:color w:val="0D1B2A"/>
          <w:sz w:val="40"/>
          <w:szCs w:val="40"/>
        </w:rPr>
        <w:t xml:space="preserve">🇮🇱  תכנית עסקים לשוק הישראלי  |  Israeli Market Business Plan</w:t>
      </w:r>
    </w:p>
    <w:p>
      <w:pPr>
        <w:spacing w:after="80" w:before="0"/>
        <w:jc w:val="center"/>
      </w:pPr>
      <w:r>
        <w:rPr>
          <w:rFonts w:ascii="Arial" w:cs="Arial" w:eastAsia="Arial" w:hAnsi="Arial"/>
          <w:color w:val="0038B8"/>
          <w:sz w:val="22"/>
          <w:szCs w:val="22"/>
        </w:rPr>
        <w:t xml:space="preserve">IDF Training  ·  University Education  ·  High-Tech L&amp;D  ·  Healthcare  ·  Global Scale</w:t>
      </w:r>
    </w:p>
    <w:p>
      <w:pPr>
        <w:spacing w:after="1800" w:before="0"/>
        <w:jc w:val="center"/>
      </w:pPr>
      <w:r>
        <w:rPr>
          <w:rFonts w:ascii="Arial" w:cs="Arial" w:eastAsia="Arial" w:hAnsi="Arial"/>
          <w:color w:val="64748B"/>
          <w:sz w:val="22"/>
          <w:szCs w:val="22"/>
        </w:rPr>
        <w:t xml:space="preserve">Version 2.0.0  —  May 2026  —  Pre-Seed / Seed  —  Confidential</w:t>
      </w:r>
    </w:p>
    <w:p>
      <w:pPr>
        <w:jc w:val="center"/>
      </w:pPr>
      <w:r>
        <w:rPr>
          <w:rFonts w:ascii="Arial" w:cs="Arial" w:eastAsia="Arial" w:hAnsi="Arial"/>
          <w:b/>
          <w:bCs/>
          <w:color w:val="0D1B2A"/>
          <w:sz w:val="20"/>
          <w:szCs w:val="20"/>
        </w:rPr>
        <w:t xml:space="preserve">Contact: </w:t>
      </w:r>
      <w:r>
        <w:rPr>
          <w:rFonts w:ascii="Arial" w:cs="Arial" w:eastAsia="Arial" w:hAnsi="Arial"/>
          <w:color w:val="64748B"/>
          <w:sz w:val="20"/>
          <w:szCs w:val="20"/>
        </w:rPr>
        <w:t xml:space="preserve">info@diatasso.net</w:t>
      </w:r>
    </w:p>
    <w:p>
      <w:pPr>
        <w:jc w:val="center"/>
      </w:pPr>
      <w:r>
        <w:rPr>
          <w:rFonts w:ascii="Arial" w:cs="Arial" w:eastAsia="Arial" w:hAnsi="Arial"/>
          <w:b/>
          <w:bCs/>
          <w:color w:val="0D1B2A"/>
          <w:sz w:val="20"/>
          <w:szCs w:val="20"/>
        </w:rPr>
        <w:t xml:space="preserve">Investor Portal: </w:t>
      </w:r>
      <w:r>
        <w:rPr>
          <w:rFonts w:ascii="Arial" w:cs="Arial" w:eastAsia="Arial" w:hAnsi="Arial"/>
          <w:color w:val="64748B"/>
          <w:sz w:val="20"/>
          <w:szCs w:val="20"/>
        </w:rPr>
        <w:t xml:space="preserve">https://prcm-asrl-pitch.netlify.app/prcm_investor_portal.html</w:t>
      </w:r>
    </w:p>
    <w:p>
      <w:pPr>
        <w:jc w:val="center"/>
      </w:pPr>
      <w:r>
        <w:rPr>
          <w:rFonts w:ascii="Arial" w:cs="Arial" w:eastAsia="Arial" w:hAnsi="Arial"/>
          <w:b/>
          <w:bCs/>
          <w:color w:val="0D1B2A"/>
          <w:sz w:val="20"/>
          <w:szCs w:val="20"/>
        </w:rPr>
        <w:t xml:space="preserve">Live Demo: </w:t>
      </w:r>
      <w:r>
        <w:rPr>
          <w:rFonts w:ascii="Arial" w:cs="Arial" w:eastAsia="Arial" w:hAnsi="Arial"/>
          <w:color w:val="64748B"/>
          <w:sz w:val="20"/>
          <w:szCs w:val="20"/>
        </w:rPr>
        <w:t xml:space="preserve">https://prcm-asrl.netlify.app/start_here.html</w:t>
      </w:r>
    </w:p>
    <w:p>
      <w:pPr>
        <w:jc w:val="center"/>
      </w:pPr>
      <w:r>
        <w:rPr>
          <w:rFonts w:ascii="Arial" w:cs="Arial" w:eastAsia="Arial" w:hAnsi="Arial"/>
          <w:b/>
          <w:bCs/>
          <w:color w:val="0D1B2A"/>
          <w:sz w:val="20"/>
          <w:szCs w:val="20"/>
        </w:rPr>
        <w:t xml:space="preserve">Book a Walkthrough: </w:t>
      </w:r>
      <w:r>
        <w:rPr>
          <w:rFonts w:ascii="Arial" w:cs="Arial" w:eastAsia="Arial" w:hAnsi="Arial"/>
          <w:color w:val="64748B"/>
          <w:sz w:val="20"/>
          <w:szCs w:val="20"/>
        </w:rPr>
        <w:t xml:space="preserve">https://calendly.com/diatasso</w:t>
      </w:r>
    </w:p>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1.  Executive Summary — תקציר מנהלי</w:t>
      </w:r>
    </w:p>
    <w:p>
      <w:pPr>
        <w:spacing w:after="120" w:before="60"/>
      </w:pPr>
      <w:r>
        <w:rPr>
          <w:rFonts w:ascii="Arial" w:cs="Arial" w:eastAsia="Arial" w:hAnsi="Arial"/>
          <w:color w:val="1A1A2A"/>
          <w:sz w:val="22"/>
          <w:szCs w:val="22"/>
        </w:rPr>
        <w:t xml:space="preserve">PRCM | ASRL is a deep-tech adaptive learning platform built on peer-reviewed research (KDD 2022, TKDE 2023) and architected for global scale from day one. It is the platform Israel’s most critical training environments — the IDF, elite universities, and Unit 8200-caliber cyber talent pipelines — have been waiting for: research-grade adaptive algorithms, five AI integrations, Hebrew and Arabic language support, and an auditable closed-loop ecosystem that produces measurably superior outcomes.</w:t>
      </w:r>
    </w:p>
    <w:p>
      <w:pPr>
        <w:spacing w:after="120" w:before="60"/>
      </w:pPr>
      <w:r>
        <w:rPr>
          <w:rFonts w:ascii="Arial" w:cs="Arial" w:eastAsia="Arial" w:hAnsi="Arial"/>
          <w:color w:val="1A1A2A"/>
          <w:sz w:val="22"/>
          <w:szCs w:val="22"/>
        </w:rPr>
        <w:t xml:space="preserve">Israel’s unique profile makes it an ideal launch market: the IDF’s mandatory training requirements, the Technion and Hebrew University’s research culture, and the high-tech sector’s demand for measurable upskilling create concentrated, high-value institutional buyers within a compact geography. The platform then scales globally — the architecture was built for export from the first line of code.</w:t>
      </w:r>
    </w:p>
    <w:p>
      <w:pPr>
        <w:spacing w:after="120" w:before="60"/>
      </w:pPr>
      <w:r>
        <w:rPr>
          <w:rFonts w:ascii="Arial" w:cs="Arial" w:eastAsia="Arial" w:hAnsi="Arial"/>
          <w:color w:val="1A1A2A"/>
          <w:sz w:val="22"/>
          <w:szCs w:val="22"/>
        </w:rPr>
        <w:t xml:space="preserve">Measured outcomes: 92% retention rate versus 67% industry average. SSP-MMC scheduling reduces recall error by 64% and scheduling cost by 17% (TKDE 2023, 220 million memory behavior events, 828,000 students). Five AI providers: Groq, OpenAI/GPT, UTE Engine, SSP-MMC, and ML Export Pipelines — all contract-governed and auditable.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8B8" w:sz="1"/>
              <w:left w:val="single" w:color="0038B8" w:sz="16"/>
              <w:bottom w:val="single" w:color="0038B8" w:sz="1"/>
              <w:right w:val="single" w:color="E2E8F0" w:sz="1"/>
            </w:tcBorders>
            <w:shd w:fill="EEF2FF" w:val="clear"/>
            <w:tcMar>
              <w:top w:type="dxa" w:w="120"/>
              <w:left w:type="dxa" w:w="200"/>
              <w:bottom w:type="dxa" w:w="120"/>
              <w:right w:type="dxa" w:w="120"/>
            </w:tcMar>
          </w:tcPr>
          <w:p>
            <w:pPr>
              <w:spacing w:after="80" w:before="0"/>
            </w:pPr>
            <w:r>
              <w:rPr>
                <w:rFonts w:ascii="Arial" w:cs="Arial" w:eastAsia="Arial" w:hAnsi="Arial"/>
                <w:b/>
                <w:bCs/>
                <w:color w:val="0038B8"/>
                <w:sz w:val="20"/>
                <w:szCs w:val="20"/>
              </w:rPr>
              <w:t xml:space="preserve">תקציר למשקיע  |  At a Glance</w:t>
            </w:r>
          </w:p>
          <w:p>
            <w:pPr>
              <w:spacing w:after="60" w:before="40"/>
            </w:pPr>
            <w:r>
              <w:rPr>
                <w:rFonts w:ascii="Arial" w:cs="Arial" w:eastAsia="Arial" w:hAnsi="Arial"/>
                <w:b/>
                <w:bCs/>
                <w:color w:val="0038B8"/>
                <w:sz w:val="22"/>
                <w:szCs w:val="22"/>
              </w:rPr>
              <w:t xml:space="preserve">Company: </w:t>
            </w:r>
            <w:r>
              <w:rPr>
                <w:rFonts w:ascii="Arial" w:cs="Arial" w:eastAsia="Arial" w:hAnsi="Arial"/>
                <w:color w:val="1A1A2A"/>
                <w:sz w:val="22"/>
                <w:szCs w:val="22"/>
              </w:rPr>
              <w:t xml:space="preserve">Diatasso PRCM™</w:t>
            </w:r>
          </w:p>
          <w:p>
            <w:pPr>
              <w:spacing w:after="60" w:before="40"/>
            </w:pPr>
            <w:r>
              <w:rPr>
                <w:rFonts w:ascii="Arial" w:cs="Arial" w:eastAsia="Arial" w:hAnsi="Arial"/>
                <w:b/>
                <w:bCs/>
                <w:color w:val="0038B8"/>
                <w:sz w:val="22"/>
                <w:szCs w:val="22"/>
              </w:rPr>
              <w:t xml:space="preserve">Platform: </w:t>
            </w:r>
            <w:r>
              <w:rPr>
                <w:rFonts w:ascii="Arial" w:cs="Arial" w:eastAsia="Arial" w:hAnsi="Arial"/>
                <w:color w:val="1A1A2A"/>
                <w:sz w:val="22"/>
                <w:szCs w:val="22"/>
              </w:rPr>
              <w:t xml:space="preserve">PRCM | ASRL — UTE + Deck Forge + ASRL closed-loop ecosystem</w:t>
            </w:r>
          </w:p>
          <w:p>
            <w:pPr>
              <w:spacing w:after="60" w:before="40"/>
            </w:pPr>
            <w:r>
              <w:rPr>
                <w:rFonts w:ascii="Arial" w:cs="Arial" w:eastAsia="Arial" w:hAnsi="Arial"/>
                <w:b/>
                <w:bCs/>
                <w:color w:val="0038B8"/>
                <w:sz w:val="22"/>
                <w:szCs w:val="22"/>
              </w:rPr>
              <w:t xml:space="preserve">Israeli Differentiator: </w:t>
            </w:r>
            <w:r>
              <w:rPr>
                <w:rFonts w:ascii="Arial" w:cs="Arial" w:eastAsia="Arial" w:hAnsi="Arial"/>
                <w:color w:val="1A1A2A"/>
                <w:sz w:val="22"/>
                <w:szCs w:val="22"/>
              </w:rPr>
              <w:t xml:space="preserve">Deep-tech IP (SM-2+FSRS+IRT) + 5 AI providers + Hebrew/Arabic support + IDF-grade architecture</w:t>
            </w:r>
          </w:p>
          <w:p>
            <w:pPr>
              <w:spacing w:after="60" w:before="40"/>
            </w:pPr>
            <w:r>
              <w:rPr>
                <w:rFonts w:ascii="Arial" w:cs="Arial" w:eastAsia="Arial" w:hAnsi="Arial"/>
                <w:b/>
                <w:bCs/>
                <w:color w:val="0038B8"/>
                <w:sz w:val="22"/>
                <w:szCs w:val="22"/>
              </w:rPr>
              <w:t xml:space="preserve">Funding Sought: </w:t>
            </w:r>
            <w:r>
              <w:rPr>
                <w:rFonts w:ascii="Arial" w:cs="Arial" w:eastAsia="Arial" w:hAnsi="Arial"/>
                <w:color w:val="1A1A2A"/>
                <w:sz w:val="22"/>
                <w:szCs w:val="22"/>
              </w:rPr>
              <w:t xml:space="preserve">$500,000–$1,000,000 USD + ₪1.5M IIA grant application (non-dilutive)</w:t>
            </w:r>
          </w:p>
          <w:p>
            <w:pPr>
              <w:spacing w:after="60" w:before="40"/>
            </w:pPr>
            <w:r>
              <w:rPr>
                <w:rFonts w:ascii="Arial" w:cs="Arial" w:eastAsia="Arial" w:hAnsi="Arial"/>
                <w:b/>
                <w:bCs/>
                <w:color w:val="0038B8"/>
                <w:sz w:val="22"/>
                <w:szCs w:val="22"/>
              </w:rPr>
              <w:t xml:space="preserve">Revenue Model: </w:t>
            </w:r>
            <w:r>
              <w:rPr>
                <w:rFonts w:ascii="Arial" w:cs="Arial" w:eastAsia="Arial" w:hAnsi="Arial"/>
                <w:color w:val="1A1A2A"/>
                <w:sz w:val="22"/>
                <w:szCs w:val="22"/>
              </w:rPr>
              <w:t xml:space="preserve">Free + Pro $19/mo (₪70) + Unit/School $299/mo (₪1,100) + Enterprise custom</w:t>
            </w:r>
          </w:p>
          <w:p>
            <w:pPr>
              <w:spacing w:after="60" w:before="40"/>
            </w:pPr>
            <w:r>
              <w:rPr>
                <w:rFonts w:ascii="Arial" w:cs="Arial" w:eastAsia="Arial" w:hAnsi="Arial"/>
                <w:b/>
                <w:bCs/>
                <w:color w:val="0038B8"/>
                <w:sz w:val="22"/>
                <w:szCs w:val="22"/>
              </w:rPr>
              <w:t xml:space="preserve">Target Israeli Investors: </w:t>
            </w:r>
            <w:r>
              <w:rPr>
                <w:rFonts w:ascii="Arial" w:cs="Arial" w:eastAsia="Arial" w:hAnsi="Arial"/>
                <w:color w:val="1A1A2A"/>
                <w:sz w:val="22"/>
                <w:szCs w:val="22"/>
              </w:rPr>
              <w:t xml:space="preserve">OurCrowd · Team8 · Viola Ventures · Pitango · Disruptive AI</w:t>
            </w:r>
          </w:p>
          <w:p>
            <w:pPr>
              <w:spacing w:after="60" w:before="40"/>
            </w:pPr>
            <w:r>
              <w:rPr>
                <w:rFonts w:ascii="Arial" w:cs="Arial" w:eastAsia="Arial" w:hAnsi="Arial"/>
                <w:b/>
                <w:bCs/>
                <w:color w:val="0038B8"/>
                <w:sz w:val="22"/>
                <w:szCs w:val="22"/>
              </w:rPr>
              <w:t xml:space="preserve">Co-Investment Pathway: </w:t>
            </w:r>
            <w:r>
              <w:rPr>
                <w:rFonts w:ascii="Arial" w:cs="Arial" w:eastAsia="Arial" w:hAnsi="Arial"/>
                <w:color w:val="1A1A2A"/>
                <w:sz w:val="22"/>
                <w:szCs w:val="22"/>
              </w:rPr>
              <w:t xml:space="preserve">IIA (Israel Innovation Authority) R&amp;D grant · BIRD Foundation (Israel-US)</w:t>
            </w:r>
          </w:p>
          <w:p>
            <w:pPr>
              <w:spacing w:after="60" w:before="40"/>
            </w:pPr>
            <w:r>
              <w:rPr>
                <w:rFonts w:ascii="Arial" w:cs="Arial" w:eastAsia="Arial" w:hAnsi="Arial"/>
                <w:b/>
                <w:bCs/>
                <w:color w:val="0038B8"/>
                <w:sz w:val="22"/>
                <w:szCs w:val="22"/>
              </w:rPr>
              <w:t xml:space="preserve">Israeli Break-even: </w:t>
            </w:r>
            <w:r>
              <w:rPr>
                <w:rFonts w:ascii="Arial" w:cs="Arial" w:eastAsia="Arial" w:hAnsi="Arial"/>
                <w:color w:val="1A1A2A"/>
                <w:sz w:val="22"/>
                <w:szCs w:val="22"/>
              </w:rPr>
              <w:t xml:space="preserve">~Month 13</w:t>
            </w:r>
          </w:p>
          <w:p>
            <w:pPr>
              <w:spacing w:after="60" w:before="40"/>
            </w:pPr>
            <w:r>
              <w:rPr>
                <w:rFonts w:ascii="Arial" w:cs="Arial" w:eastAsia="Arial" w:hAnsi="Arial"/>
                <w:b/>
                <w:bCs/>
                <w:color w:val="0038B8"/>
                <w:sz w:val="22"/>
                <w:szCs w:val="22"/>
              </w:rPr>
              <w:t xml:space="preserve">Year 3 ARR: </w:t>
            </w:r>
            <w:r>
              <w:rPr>
                <w:rFonts w:ascii="Arial" w:cs="Arial" w:eastAsia="Arial" w:hAnsi="Arial"/>
                <w:color w:val="1A1A2A"/>
                <w:sz w:val="22"/>
                <w:szCs w:val="22"/>
              </w:rPr>
              <w:t xml:space="preserve">~$3.0M USD (∼₪11M)</w:t>
            </w:r>
          </w:p>
          <w:p>
            <w:pPr>
              <w:spacing w:after="60" w:before="40"/>
            </w:pPr>
            <w:r>
              <w:rPr>
                <w:rFonts w:ascii="Arial" w:cs="Arial" w:eastAsia="Arial" w:hAnsi="Arial"/>
                <w:b/>
                <w:bCs/>
                <w:color w:val="0038B8"/>
                <w:sz w:val="22"/>
                <w:szCs w:val="22"/>
              </w:rPr>
              <w:t xml:space="preserve">Series A Target: </w:t>
            </w:r>
            <w:r>
              <w:rPr>
                <w:rFonts w:ascii="Arial" w:cs="Arial" w:eastAsia="Arial" w:hAnsi="Arial"/>
                <w:color w:val="1A1A2A"/>
                <w:sz w:val="22"/>
                <w:szCs w:val="22"/>
              </w:rPr>
              <w:t xml:space="preserve">$4–$6M USD — US and EU markets post-Israeli proof-of-concept</w:t>
            </w:r>
          </w:p>
          <w:p>
            <w:pPr>
              <w:spacing w:after="60" w:before="40"/>
            </w:pPr>
            <w:r>
              <w:rPr>
                <w:rFonts w:ascii="Arial" w:cs="Arial" w:eastAsia="Arial" w:hAnsi="Arial"/>
                <w:b/>
                <w:bCs/>
                <w:color w:val="0038B8"/>
                <w:sz w:val="22"/>
                <w:szCs w:val="22"/>
              </w:rPr>
              <w:t xml:space="preserve">Contact: </w:t>
            </w:r>
            <w:r>
              <w:rPr>
                <w:rFonts w:ascii="Arial" w:cs="Arial" w:eastAsia="Arial" w:hAnsi="Arial"/>
                <w:color w:val="1A1A2A"/>
                <w:sz w:val="22"/>
                <w:szCs w:val="22"/>
              </w:rPr>
              <w:t xml:space="preserve">info@diatasso.net  ·  https://prcm-asrl-pitch.netlify.app/prcm_investor_portal.html</w:t>
            </w:r>
          </w:p>
        </w:tc>
      </w:tr>
    </w:tbl>
    <w:p>
      <w:pPr>
        <w:spacing w:after="80" w:before="0"/>
      </w:pPr>
      <w:r>
        <w:t xml:space="preserve"/>
      </w:r>
    </w:p>
    <w:p>
      <w:pPr>
        <w:spacing w:after="80" w:before="0"/>
      </w:pPr>
      <w:r>
        <w:t xml:space="preserve"/>
      </w:r>
    </w:p>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2.  Company Overview and Vision</w:t>
      </w:r>
    </w:p>
    <w:p>
      <w:pPr>
        <w:pStyle w:val="Heading2"/>
        <w:spacing w:after="80" w:before="260"/>
      </w:pPr>
      <w:r>
        <w:rPr>
          <w:rFonts w:ascii="Arial" w:cs="Arial" w:eastAsia="Arial" w:hAnsi="Arial"/>
          <w:b/>
          <w:bCs/>
          <w:color w:val="0038B8"/>
          <w:sz w:val="26"/>
          <w:szCs w:val="26"/>
        </w:rPr>
        <w:t xml:space="preserve">2a.  Mission</w:t>
      </w:r>
    </w:p>
    <w:p>
      <w:pPr>
        <w:spacing w:after="120" w:before="60"/>
      </w:pPr>
      <w:r>
        <w:rPr>
          <w:rFonts w:ascii="Arial" w:cs="Arial" w:eastAsia="Arial" w:hAnsi="Arial"/>
          <w:color w:val="1A1A2A"/>
          <w:sz w:val="22"/>
          <w:szCs w:val="22"/>
        </w:rPr>
        <w:t xml:space="preserve">To build the world’s most measurably effective learning platform — grounded in peer-reviewed cognitive science, governed by auditable AI contracts, and deployable in any language, any regulated environment, at any scale. Built with the Startup Nation philosophy: deep tech, global ambition, Israeli precision.</w:t>
      </w:r>
    </w:p>
    <w:p>
      <w:pPr>
        <w:spacing w:after="80" w:before="0"/>
      </w:pPr>
      <w:r>
        <w:t xml:space="preserve"/>
      </w:r>
    </w:p>
    <w:p>
      <w:pPr>
        <w:pStyle w:val="Heading2"/>
        <w:spacing w:after="80" w:before="260"/>
      </w:pPr>
      <w:r>
        <w:rPr>
          <w:rFonts w:ascii="Arial" w:cs="Arial" w:eastAsia="Arial" w:hAnsi="Arial"/>
          <w:b/>
          <w:bCs/>
          <w:color w:val="0038B8"/>
          <w:sz w:val="26"/>
          <w:szCs w:val="26"/>
        </w:rPr>
        <w:t xml:space="preserve">2b.  Why Israel First</w:t>
      </w:r>
    </w:p>
    <w:p>
      <w:pPr>
        <w:spacing w:after="120" w:before="60"/>
      </w:pPr>
      <w:r>
        <w:rPr>
          <w:rFonts w:ascii="Arial" w:cs="Arial" w:eastAsia="Arial" w:hAnsi="Arial"/>
          <w:color w:val="1A1A2A"/>
          <w:sz w:val="22"/>
          <w:szCs w:val="22"/>
        </w:rPr>
        <w:t xml:space="preserve">Israeli companies do not build for the Israeli market. They build globally using Israel as a proving ground. PRCM follows this model precisely. The Israeli market offers:</w:t>
      </w:r>
    </w:p>
    <w:p>
      <w:pPr>
        <w:pStyle w:val="ListParagraph"/>
        <w:numPr>
          <w:ilvl w:val="0"/>
          <w:numId w:val="2"/>
        </w:numPr>
        <w:spacing w:after="40" w:before="40"/>
      </w:pPr>
      <w:r>
        <w:rPr>
          <w:rFonts w:ascii="Arial" w:cs="Arial" w:eastAsia="Arial" w:hAnsi="Arial"/>
          <w:color w:val="1A1A2A"/>
          <w:sz w:val="22"/>
          <w:szCs w:val="22"/>
        </w:rPr>
        <w:t xml:space="preserve">IDF: 170,000 active duty and 465,000 reserves with mandatory training requirements — a captive, high-value institutional buyer that no consumer EdTech tool can serve</w:t>
      </w:r>
    </w:p>
    <w:p>
      <w:pPr>
        <w:pStyle w:val="ListParagraph"/>
        <w:numPr>
          <w:ilvl w:val="0"/>
          <w:numId w:val="2"/>
        </w:numPr>
        <w:spacing w:after="40" w:before="40"/>
      </w:pPr>
      <w:r>
        <w:rPr>
          <w:rFonts w:ascii="Arial" w:cs="Arial" w:eastAsia="Arial" w:hAnsi="Arial"/>
          <w:color w:val="1A1A2A"/>
          <w:sz w:val="22"/>
          <w:szCs w:val="22"/>
        </w:rPr>
        <w:t xml:space="preserve">Elite universities: Technion, Hebrew University, TAU, BGU, and Ben-Gurion collectively serve 340,000+ students and have a culture of adopting research-backed technology</w:t>
      </w:r>
    </w:p>
    <w:p>
      <w:pPr>
        <w:pStyle w:val="ListParagraph"/>
        <w:numPr>
          <w:ilvl w:val="0"/>
          <w:numId w:val="2"/>
        </w:numPr>
        <w:spacing w:after="40" w:before="40"/>
      </w:pPr>
      <w:r>
        <w:rPr>
          <w:rFonts w:ascii="Arial" w:cs="Arial" w:eastAsia="Arial" w:hAnsi="Arial"/>
          <w:color w:val="1A1A2A"/>
          <w:sz w:val="22"/>
          <w:szCs w:val="22"/>
        </w:rPr>
        <w:t xml:space="preserve">High-tech talent pipeline: 350,000+ high-tech employees at Intel Israel, Microsoft, Google, and 7,000+ startups require continuous technical upskilling and certification</w:t>
      </w:r>
    </w:p>
    <w:p>
      <w:pPr>
        <w:pStyle w:val="ListParagraph"/>
        <w:numPr>
          <w:ilvl w:val="0"/>
          <w:numId w:val="2"/>
        </w:numPr>
        <w:spacing w:after="40" w:before="40"/>
      </w:pPr>
      <w:r>
        <w:rPr>
          <w:rFonts w:ascii="Arial" w:cs="Arial" w:eastAsia="Arial" w:hAnsi="Arial"/>
          <w:color w:val="1A1A2A"/>
          <w:sz w:val="22"/>
          <w:szCs w:val="22"/>
        </w:rPr>
        <w:t xml:space="preserve">Unit 8200 and cyber ecosystem: Israel’s cybersecurity talent development pipeline is one of the most intensive in the world — IRT adaptive testing matches the CAT format of top security certifications</w:t>
      </w:r>
    </w:p>
    <w:p>
      <w:pPr>
        <w:pStyle w:val="ListParagraph"/>
        <w:numPr>
          <w:ilvl w:val="0"/>
          <w:numId w:val="2"/>
        </w:numPr>
        <w:spacing w:after="40" w:before="40"/>
      </w:pPr>
      <w:r>
        <w:rPr>
          <w:rFonts w:ascii="Arial" w:cs="Arial" w:eastAsia="Arial" w:hAnsi="Arial"/>
          <w:color w:val="1A1A2A"/>
          <w:sz w:val="22"/>
          <w:szCs w:val="22"/>
        </w:rPr>
        <w:t xml:space="preserve">Healthcare system: Clalit, Maccabi, Meuhedet, and Leumit collectively cover 99% of Israelis with mandatory continuing medical education requirements</w:t>
      </w:r>
    </w:p>
    <w:p>
      <w:pPr>
        <w:pStyle w:val="ListParagraph"/>
        <w:numPr>
          <w:ilvl w:val="0"/>
          <w:numId w:val="2"/>
        </w:numPr>
        <w:spacing w:after="40" w:before="40"/>
      </w:pPr>
      <w:r>
        <w:rPr>
          <w:rFonts w:ascii="Arial" w:cs="Arial" w:eastAsia="Arial" w:hAnsi="Arial"/>
          <w:color w:val="1A1A2A"/>
          <w:sz w:val="22"/>
          <w:szCs w:val="22"/>
        </w:rPr>
        <w:t xml:space="preserve">Language opportunity: Hebrew and Arabic deck generation via Deck Forge GPT is a feature no competitor offers</w:t>
      </w:r>
    </w:p>
    <w:p>
      <w:pPr>
        <w:spacing w:after="80" w:before="0"/>
      </w:pPr>
      <w:r>
        <w:t xml:space="preserve"/>
      </w:r>
    </w:p>
    <w:p>
      <w:pPr>
        <w:pStyle w:val="Heading2"/>
        <w:spacing w:after="80" w:before="260"/>
      </w:pPr>
      <w:r>
        <w:rPr>
          <w:rFonts w:ascii="Arial" w:cs="Arial" w:eastAsia="Arial" w:hAnsi="Arial"/>
          <w:b/>
          <w:bCs/>
          <w:color w:val="0038B8"/>
          <w:sz w:val="26"/>
          <w:szCs w:val="26"/>
        </w:rPr>
        <w:t xml:space="preserve">2c.  Legal Structure</w:t>
      </w:r>
    </w:p>
    <w:p>
      <w:pPr>
        <w:spacing w:after="60" w:before="40"/>
      </w:pPr>
      <w:r>
        <w:rPr>
          <w:rFonts w:ascii="Arial" w:cs="Arial" w:eastAsia="Arial" w:hAnsi="Arial"/>
          <w:b/>
          <w:bCs/>
          <w:color w:val="0038B8"/>
          <w:sz w:val="22"/>
          <w:szCs w:val="22"/>
        </w:rPr>
        <w:t xml:space="preserve">Current Entity: </w:t>
      </w:r>
      <w:r>
        <w:rPr>
          <w:rFonts w:ascii="Arial" w:cs="Arial" w:eastAsia="Arial" w:hAnsi="Arial"/>
          <w:color w:val="1A1A2A"/>
          <w:sz w:val="22"/>
          <w:szCs w:val="22"/>
        </w:rPr>
        <w:t xml:space="preserve">Diatasso PRCM™ (operating under Diatasso LLC)</w:t>
      </w:r>
    </w:p>
    <w:p>
      <w:pPr>
        <w:spacing w:after="60" w:before="40"/>
      </w:pPr>
      <w:r>
        <w:rPr>
          <w:rFonts w:ascii="Arial" w:cs="Arial" w:eastAsia="Arial" w:hAnsi="Arial"/>
          <w:b/>
          <w:bCs/>
          <w:color w:val="0038B8"/>
          <w:sz w:val="22"/>
          <w:szCs w:val="22"/>
        </w:rPr>
        <w:t xml:space="preserve">Israeli Structure: </w:t>
      </w:r>
      <w:r>
        <w:rPr>
          <w:rFonts w:ascii="Arial" w:cs="Arial" w:eastAsia="Arial" w:hAnsi="Arial"/>
          <w:color w:val="1A1A2A"/>
          <w:sz w:val="22"/>
          <w:szCs w:val="22"/>
        </w:rPr>
        <w:t xml:space="preserve">Incorporated as Israeli private company (עוסק פרטי מוגבל בערבון) upon funding — enables IIA grant eligibility and BIRD Foundation participation</w:t>
      </w:r>
    </w:p>
    <w:p>
      <w:pPr>
        <w:spacing w:after="60" w:before="40"/>
      </w:pPr>
      <w:r>
        <w:rPr>
          <w:rFonts w:ascii="Arial" w:cs="Arial" w:eastAsia="Arial" w:hAnsi="Arial"/>
          <w:b/>
          <w:bCs/>
          <w:color w:val="0038B8"/>
          <w:sz w:val="22"/>
          <w:szCs w:val="22"/>
        </w:rPr>
        <w:t xml:space="preserve">IP Protection: </w:t>
      </w:r>
      <w:r>
        <w:rPr>
          <w:rFonts w:ascii="Arial" w:cs="Arial" w:eastAsia="Arial" w:hAnsi="Arial"/>
          <w:color w:val="1A1A2A"/>
          <w:sz w:val="22"/>
          <w:szCs w:val="22"/>
        </w:rPr>
        <w:t xml:space="preserve">Diatasso PRCM™ trademark · algo.json v2.3.0 copyright · patent review in process (IIA-eligible R&amp;D)</w:t>
      </w:r>
    </w:p>
    <w:p>
      <w:pPr>
        <w:spacing w:after="60" w:before="40"/>
      </w:pPr>
      <w:r>
        <w:rPr>
          <w:rFonts w:ascii="Arial" w:cs="Arial" w:eastAsia="Arial" w:hAnsi="Arial"/>
          <w:b/>
          <w:bCs/>
          <w:color w:val="0038B8"/>
          <w:sz w:val="22"/>
          <w:szCs w:val="22"/>
        </w:rPr>
        <w:t xml:space="preserve">Privacy Law: </w:t>
      </w:r>
      <w:r>
        <w:rPr>
          <w:rFonts w:ascii="Arial" w:cs="Arial" w:eastAsia="Arial" w:hAnsi="Arial"/>
          <w:color w:val="1A1A2A"/>
          <w:sz w:val="22"/>
          <w:szCs w:val="22"/>
        </w:rPr>
        <w:t xml:space="preserve">Israeli Privacy Protection Law (amended 2023) compliance — equivalent to GDPR Article 28 framework already implemented</w:t>
      </w:r>
    </w:p>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3.  Product and Technology</w:t>
      </w:r>
    </w:p>
    <w:p>
      <w:pPr>
        <w:pStyle w:val="Heading2"/>
        <w:spacing w:after="80" w:before="260"/>
      </w:pPr>
      <w:r>
        <w:rPr>
          <w:rFonts w:ascii="Arial" w:cs="Arial" w:eastAsia="Arial" w:hAnsi="Arial"/>
          <w:b/>
          <w:bCs/>
          <w:color w:val="0038B8"/>
          <w:sz w:val="26"/>
          <w:szCs w:val="26"/>
        </w:rPr>
        <w:t xml:space="preserve">3a.  The PRCM Closed Loop — לולאה סגורה</w:t>
      </w:r>
    </w:p>
    <w:p>
      <w:pPr>
        <w:spacing w:after="120" w:before="60"/>
      </w:pPr>
      <w:r>
        <w:rPr>
          <w:rFonts w:ascii="Arial" w:cs="Arial" w:eastAsia="Arial" w:hAnsi="Arial"/>
          <w:color w:val="1A1A2A"/>
          <w:sz w:val="22"/>
          <w:szCs w:val="22"/>
        </w:rPr>
        <w:t xml:space="preserve">PRCM operates as a four-phase continuous intelligence loop. Each handoff is governed by a schema-versioned data contract — not a soft API call. This makes every AI decision auditable, every recommendation reversible, and every integration replaceable without rebuilding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600"/>
        <w:gridCol w:w="2160"/>
      </w:tblGrid>
      <w:tr>
        <w:tc>
          <w:tcPr>
            <w:tcW w:type="dxa" w:w="14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w:t>
            </w:r>
          </w:p>
        </w:tc>
        <w:tc>
          <w:tcPr>
            <w:tcW w:type="dxa" w:w="360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Israeli Application</w:t>
            </w:r>
          </w:p>
        </w:tc>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 / Artifact</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ASSESS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UTE — Universal Testing Engine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IDF skill classification · university admission readiness · cyber certification baseline · CME competency assessment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Baseline profile + priority domains + difficulty targets + KPI gate status</w:t>
            </w:r>
          </w:p>
        </w:tc>
      </w:tr>
      <w:tr>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GENERATE</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Deck Forge GPT (OpenAI)</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Hebrew / Arabic / English deck creation from IDF manuals, course materials, compliance documents — 10× faster than manual</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Schema-compliant JSON/CSV · difficulty-tiered · tagged · audit log per generation</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EXECUTE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PRCM | ASRL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SM-2 + FSRS + IRT adaptive study · Groq AI coaching in Hebrew/English · 13 diagnostic modules · RPG engagement layer</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Signed ute_asrl_handoff_bundle.v1.json per session · mastery evidence per learner</w:t>
            </w:r>
          </w:p>
        </w:tc>
      </w:tr>
      <w:tr>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OPTIMIZE</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UTE Recommender Engine</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Evidence-driven next-cycle recommendations · commander / faculty visibility · PROMOTE/HOLD/ROLLBACK per learner</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Recommendation bundle + KPI gate report + immutable decision log</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3b.  Deep-Tech Algorithm Stack — Israel’s Competitive Advantage</w:t>
      </w:r>
    </w:p>
    <w:p>
      <w:pPr>
        <w:spacing w:after="120" w:before="60"/>
      </w:pPr>
      <w:r>
        <w:rPr>
          <w:rFonts w:ascii="Arial" w:cs="Arial" w:eastAsia="Arial" w:hAnsi="Arial"/>
          <w:color w:val="1A1A2A"/>
          <w:sz w:val="22"/>
          <w:szCs w:val="22"/>
        </w:rPr>
        <w:t xml:space="preserve">Israel’s tech culture values defensible IP and research depth above marketing features. PRCM’s algorithmic stack is the most technically sophisticated in the market: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Algorithm</w:t>
            </w:r>
          </w:p>
        </w:tc>
        <w:tc>
          <w:tcPr>
            <w:tcW w:type="dxa" w:w="32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Scientific Foundation</w:t>
            </w:r>
          </w:p>
        </w:tc>
        <w:tc>
          <w:tcPr>
            <w:tcW w:type="dxa" w:w="39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Israeli Validation Context</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SM-2 (Spaced Repetition)</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Piotr Woźniak · 21 conformance vectors · Anki-compatible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Production baseline used by Israeli students and independent learners</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FSRS (Free Spaced Repetition Scheduler)</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Modern memory stability/difficulty model · Canonical FSRS test suite</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Configurable retention targets for IDF mandatory cert requirements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IRT 3PL (Adaptive Testing)</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3-parameter logistic model · P(θ) = c+(1−c)/(1+e^(−a(θ−b)))</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Same psychometric standard as IDF classification exams and Israeli Psychometric Entrance Test (PET)</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SSP-MMC (Scheduling AI)</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KDD 2022 + TKDE 2023 · −64% recall error · −17% cost · 220M events</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Research published in top-tier venues — credible to Israeli academic and defense procurement</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3c.  Five AI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AI Provider</w:t>
            </w:r>
          </w:p>
        </w:tc>
        <w:tc>
          <w:tcPr>
            <w:tcW w:type="dxa" w:w="39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Israeli Application</w:t>
            </w:r>
          </w:p>
        </w:tc>
        <w:tc>
          <w:tcPr>
            <w:tcW w:type="dxa" w:w="32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Governance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Groq (Live API)</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Hebrew and English AI coaching · weekly reports · predictive retention alerts · concept maps</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API call logging + audit trail · Israeli Privacy Law compliant</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OpenAI / GPT (Deck Forge)</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Hebrew, Arabic, English deck generation from any source material · IDF manuals · course notes</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Prompt diffs stored · Content audit logs · GDPR Art. 28 / IL Privacy Law</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UTE AI Engine (IRT/CAT)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Adaptive item selection matching IDF and Israeli academic exam psychometrics</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Contract-enforced schema · PROMOTE/HOLD/ROLLBACK · Evidence bundle per learner</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SSP-MMC (Scheduling AI)</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Memory-optimized scheduling reducing IDF and university training time</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Deterministic mode for military cohorts · Auditable decisions · Reproducible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ML Export Pipelines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TF / PyTorch / HuggingFace / OpenAI JSONL for Technion and Hebrew University research partnerships</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De-identified aggregate data · IL Privacy Law Safe Harbor compliance</w:t>
            </w:r>
          </w:p>
        </w:tc>
      </w:tr>
    </w:tbl>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4.  Israeli Market Opportunity</w:t>
      </w:r>
    </w:p>
    <w:p>
      <w:pPr>
        <w:pStyle w:val="Heading2"/>
        <w:spacing w:after="80" w:before="260"/>
      </w:pPr>
      <w:r>
        <w:rPr>
          <w:rFonts w:ascii="Arial" w:cs="Arial" w:eastAsia="Arial" w:hAnsi="Arial"/>
          <w:b/>
          <w:bCs/>
          <w:color w:val="0038B8"/>
          <w:sz w:val="26"/>
          <w:szCs w:val="26"/>
        </w:rPr>
        <w:t xml:space="preserve">4a.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880"/>
        <w:gridCol w:w="2520"/>
      </w:tblGrid>
      <w:tr>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Israeli Market Segment</w:t>
            </w:r>
          </w:p>
        </w:tc>
        <w:tc>
          <w:tcPr>
            <w:tcW w:type="dxa" w:w="180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Addressable Market</w:t>
            </w:r>
          </w:p>
        </w:tc>
        <w:tc>
          <w:tcPr>
            <w:tcW w:type="dxa" w:w="288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PRCM Entry Point</w:t>
            </w:r>
          </w:p>
        </w:tc>
        <w:tc>
          <w:tcPr>
            <w:tcW w:type="dxa" w:w="252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ARPU Profile (USD / ILS)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IDF &amp; Defense Training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$150M+ / year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IDF Education Corps (Agam) · Pilot unit · Officer training</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$299/mo · ₪1,100/mo per unit</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Higher Education</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$80M+ / year</w:t>
            </w:r>
          </w:p>
        </w:tc>
        <w:tc>
          <w:tcPr>
            <w:tcW w:type="dxa" w:w="28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Technion, TAU, HU, BGU, Ben-Gurion</w:t>
            </w:r>
          </w:p>
        </w:tc>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$299/mo School Ed · institutional license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High-Tech Corporate L&amp;D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$200M+ / year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Intel Israel, Microsoft, Google, 7,000+ startups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$15K–$100K enterprise ACV</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Healthcare (CME/Training)</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$60M+ / year</w:t>
            </w:r>
          </w:p>
        </w:tc>
        <w:tc>
          <w:tcPr>
            <w:tcW w:type="dxa" w:w="28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Clalit, Maccabi, Meuhedet, Hadassah medical schools</w:t>
            </w:r>
          </w:p>
        </w:tc>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$299/mo · enterprise compliance tier</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Cyber &amp; Security Certification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$40M+ / year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IMOD cyber units, Unit 8200 alumni ecosystem</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Pro $19/mo individual · enterprise licensing</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4b.  Global Market — Israel as Beachhead</w:t>
      </w:r>
    </w:p>
    <w:p>
      <w:pPr>
        <w:spacing w:after="120" w:before="60"/>
      </w:pPr>
      <w:r>
        <w:rPr>
          <w:rFonts w:ascii="Arial" w:cs="Arial" w:eastAsia="Arial" w:hAnsi="Arial"/>
          <w:color w:val="1A1A2A"/>
          <w:sz w:val="22"/>
          <w:szCs w:val="22"/>
        </w:rPr>
        <w:t xml:space="preserve">Israeli companies build for the world. The Israeli market validates the technology and creates reference customers; the global market delivers the return. PRCM’s global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600"/>
        <w:gridCol w:w="1800"/>
      </w:tblGrid>
      <w:tr>
        <w:tc>
          <w:tcPr>
            <w:tcW w:type="dxa" w:w="14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Market</w:t>
            </w:r>
          </w:p>
        </w:tc>
        <w:tc>
          <w:tcPr>
            <w:tcW w:type="dxa" w:w="14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TAM</w:t>
            </w:r>
          </w:p>
        </w:tc>
        <w:tc>
          <w:tcPr>
            <w:tcW w:type="dxa" w:w="360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PRCM Differentiator</w:t>
            </w:r>
          </w:p>
        </w:tc>
        <w:tc>
          <w:tcPr>
            <w:tcW w:type="dxa" w:w="180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Entry Timeline</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Israel (Beachhead)</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~$1.5B</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Deep-tech algorithms + Hebrew/Arabic + IDF-grade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 → Y1</w:t>
            </w:r>
          </w:p>
        </w:tc>
      </w:tr>
      <w:tr>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US Market</w:t>
            </w:r>
          </w:p>
        </w:tc>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$200B+</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HIPAA + FERPA + ADA 508 + SOC 2 compliance posture</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Y2 → Series A</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European Union</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$120B+</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GDPR Art. 28 + WCAG AAA + multi-language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Y2 → Series A</w:t>
            </w:r>
          </w:p>
        </w:tc>
      </w:tr>
      <w:tr>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MENA Region</w:t>
            </w:r>
          </w:p>
        </w:tc>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$25B+</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Arabic language support + compliance-ready architecture</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Y3 post-Series A</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APAC / Global</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$150B+</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PWA offline mode + multi-language + research validation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Y3+ Series B</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4c.  Competitive Landscape — Israeli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Competitor</w:t>
            </w:r>
          </w:p>
        </w:tc>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Israeli Presence</w:t>
            </w:r>
          </w:p>
        </w:tc>
        <w:tc>
          <w:tcPr>
            <w:tcW w:type="dxa" w:w="50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Gaps vs PRCM</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Anki</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Used by Israeli students individually</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SM-2 only · No Hebrew/Arabic AI gen · No diagnostics · No IDF-grade architecture</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Duolingo</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Language learning only</w:t>
            </w:r>
          </w:p>
        </w:tc>
        <w:tc>
          <w:tcPr>
            <w:tcW w:type="dxa" w:w="50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Consumer app · No adaptive testing · No compliance · No institutional features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Local Israeli EdTech</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Fragmented · Single-purpose tools</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 algorithm depth · No AI integration · No closed-loop contract architecture</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US Enterprise LMS</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SAP Litmos, Cornerstone present</w:t>
            </w:r>
          </w:p>
        </w:tc>
        <w:tc>
          <w:tcPr>
            <w:tcW w:type="dxa" w:w="50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 adaptive learning science · No IRT · No Hebrew AI deck generation</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PRCM | ASRL</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Deep-tech · Hebrew/Arabic · IDF-ready</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Unique combination of algorithms + AI + compliance + language support</w:t>
            </w:r>
          </w:p>
        </w:tc>
      </w:tr>
    </w:tbl>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5.  Israel Innovation Authority (IIA) and BIRD Foundation Strategy</w:t>
      </w:r>
    </w:p>
    <w:p>
      <w:pPr>
        <w:pStyle w:val="Heading2"/>
        <w:spacing w:after="80" w:before="260"/>
      </w:pPr>
      <w:r>
        <w:rPr>
          <w:rFonts w:ascii="Arial" w:cs="Arial" w:eastAsia="Arial" w:hAnsi="Arial"/>
          <w:b/>
          <w:bCs/>
          <w:color w:val="0038B8"/>
          <w:sz w:val="26"/>
          <w:szCs w:val="26"/>
        </w:rPr>
        <w:t xml:space="preserve">5a.  IIA R&amp;D Grant Application</w:t>
      </w:r>
    </w:p>
    <w:p>
      <w:pPr>
        <w:spacing w:after="120" w:before="60"/>
      </w:pPr>
      <w:r>
        <w:rPr>
          <w:rFonts w:ascii="Arial" w:cs="Arial" w:eastAsia="Arial" w:hAnsi="Arial"/>
          <w:color w:val="1A1A2A"/>
          <w:sz w:val="22"/>
          <w:szCs w:val="22"/>
        </w:rPr>
        <w:t xml:space="preserve">The Israel Innovation Authority (IIA) provides R&amp;D grants to Israeli technology companies developing innovative products with export potential. PRCM qualifies on multiple dimensions and a grant application will be submitted immediately upon company incorporation: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8B8" w:sz="1"/>
              <w:left w:val="single" w:color="0038B8" w:sz="16"/>
              <w:bottom w:val="single" w:color="0038B8" w:sz="1"/>
              <w:right w:val="single" w:color="E2E8F0" w:sz="1"/>
            </w:tcBorders>
            <w:shd w:fill="EEF2FF" w:val="clear"/>
            <w:tcMar>
              <w:top w:type="dxa" w:w="120"/>
              <w:left w:type="dxa" w:w="200"/>
              <w:bottom w:type="dxa" w:w="120"/>
              <w:right w:type="dxa" w:w="120"/>
            </w:tcMar>
          </w:tcPr>
          <w:p>
            <w:pPr>
              <w:spacing w:after="80" w:before="0"/>
            </w:pPr>
            <w:r>
              <w:rPr>
                <w:rFonts w:ascii="Arial" w:cs="Arial" w:eastAsia="Arial" w:hAnsi="Arial"/>
                <w:b/>
                <w:bCs/>
                <w:color w:val="0038B8"/>
                <w:sz w:val="20"/>
                <w:szCs w:val="20"/>
              </w:rPr>
              <w:t xml:space="preserve">IIA Grant Eligibility Criteria — PRCM Qualification</w:t>
            </w:r>
          </w:p>
          <w:p>
            <w:pPr>
              <w:pStyle w:val="ListParagraph"/>
              <w:numPr>
                <w:ilvl w:val="0"/>
                <w:numId w:val="2"/>
              </w:numPr>
              <w:spacing w:after="40" w:before="40"/>
            </w:pPr>
            <w:r>
              <w:rPr>
                <w:rFonts w:ascii="Arial" w:cs="Arial" w:eastAsia="Arial" w:hAnsi="Arial"/>
                <w:color w:val="1A1A2A"/>
                <w:sz w:val="22"/>
                <w:szCs w:val="22"/>
              </w:rPr>
              <w:t xml:space="preserve">Innovative technology: SSP-MMC + IRT 3PL + five AI integrations constitute novel algorithmic IP not previously commercialized in Israeli EdTech</w:t>
            </w:r>
          </w:p>
          <w:p>
            <w:pPr>
              <w:pStyle w:val="ListParagraph"/>
              <w:numPr>
                <w:ilvl w:val="0"/>
                <w:numId w:val="2"/>
              </w:numPr>
              <w:spacing w:after="40" w:before="40"/>
            </w:pPr>
            <w:r>
              <w:rPr>
                <w:rFonts w:ascii="Arial" w:cs="Arial" w:eastAsia="Arial" w:hAnsi="Arial"/>
                <w:color w:val="1A1A2A"/>
                <w:sz w:val="22"/>
                <w:szCs w:val="22"/>
              </w:rPr>
              <w:t xml:space="preserve">Export potential: Architecture designed for global deployment — US, EU, MENA — with Series A targeting US market</w:t>
            </w:r>
          </w:p>
          <w:p>
            <w:pPr>
              <w:pStyle w:val="ListParagraph"/>
              <w:numPr>
                <w:ilvl w:val="0"/>
                <w:numId w:val="2"/>
              </w:numPr>
              <w:spacing w:after="40" w:before="40"/>
            </w:pPr>
            <w:r>
              <w:rPr>
                <w:rFonts w:ascii="Arial" w:cs="Arial" w:eastAsia="Arial" w:hAnsi="Arial"/>
                <w:color w:val="1A1A2A"/>
                <w:sz w:val="22"/>
                <w:szCs w:val="22"/>
              </w:rPr>
              <w:t xml:space="preserve">R&amp;D investment: Ongoing algorithm refinement (SSP-MMC fine-tuning, FSRS v4+ updates, IRT calibration) qualifies as eligible R&amp;D expenditure</w:t>
            </w:r>
          </w:p>
          <w:p>
            <w:pPr>
              <w:pStyle w:val="ListParagraph"/>
              <w:numPr>
                <w:ilvl w:val="0"/>
                <w:numId w:val="2"/>
              </w:numPr>
              <w:spacing w:after="40" w:before="40"/>
            </w:pPr>
            <w:r>
              <w:rPr>
                <w:rFonts w:ascii="Arial" w:cs="Arial" w:eastAsia="Arial" w:hAnsi="Arial"/>
                <w:color w:val="1A1A2A"/>
                <w:sz w:val="22"/>
                <w:szCs w:val="22"/>
              </w:rPr>
              <w:t xml:space="preserve">Employment creation: Hiring ML Engineer, Sales Lead, and CSM in Israel as part of seed deployment</w:t>
            </w:r>
          </w:p>
          <w:p>
            <w:pPr>
              <w:pStyle w:val="ListParagraph"/>
              <w:numPr>
                <w:ilvl w:val="0"/>
                <w:numId w:val="2"/>
              </w:numPr>
              <w:spacing w:after="40" w:before="40"/>
            </w:pPr>
            <w:r>
              <w:rPr>
                <w:rFonts w:ascii="Arial" w:cs="Arial" w:eastAsia="Arial" w:hAnsi="Arial"/>
                <w:color w:val="1A1A2A"/>
                <w:sz w:val="22"/>
                <w:szCs w:val="22"/>
              </w:rPr>
              <w:t xml:space="preserve">Grant amount: Estimated ₪1.0M–1.5M non-dilutive R&amp;D grant covering 40-50% of eligible R&amp;D costs</w:t>
            </w:r>
          </w:p>
          <w:p>
            <w:pPr>
              <w:pStyle w:val="ListParagraph"/>
              <w:numPr>
                <w:ilvl w:val="0"/>
                <w:numId w:val="2"/>
              </w:numPr>
              <w:spacing w:after="40" w:before="40"/>
            </w:pPr>
            <w:r>
              <w:rPr>
                <w:rFonts w:ascii="Arial" w:cs="Arial" w:eastAsia="Arial" w:hAnsi="Arial"/>
                <w:color w:val="1A1A2A"/>
                <w:sz w:val="22"/>
                <w:szCs w:val="22"/>
              </w:rPr>
              <w:t xml:space="preserve">IIA programs applicable: Tnufa (feasibility) → MAGNET (collaborative R&amp;D) → Standard R&amp;D program</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5b.  BIRD Foundation (Israel-US Binational R&amp;D)</w:t>
      </w:r>
    </w:p>
    <w:p>
      <w:pPr>
        <w:spacing w:after="120" w:before="60"/>
      </w:pPr>
      <w:r>
        <w:rPr>
          <w:rFonts w:ascii="Arial" w:cs="Arial" w:eastAsia="Arial" w:hAnsi="Arial"/>
          <w:color w:val="1A1A2A"/>
          <w:sz w:val="22"/>
          <w:szCs w:val="22"/>
        </w:rPr>
        <w:t xml:space="preserve">The BIRD Foundation supports joint R&amp;D projects between Israeli and US companies. PRCM’s dual-market strategy (Israeli deep-tech + US healthcare/regulated market) makes it an ideal BIRD candidate:</w:t>
      </w:r>
    </w:p>
    <w:p>
      <w:pPr>
        <w:pStyle w:val="ListParagraph"/>
        <w:numPr>
          <w:ilvl w:val="0"/>
          <w:numId w:val="2"/>
        </w:numPr>
        <w:spacing w:after="40" w:before="40"/>
      </w:pPr>
      <w:r>
        <w:rPr>
          <w:rFonts w:ascii="Arial" w:cs="Arial" w:eastAsia="Arial" w:hAnsi="Arial"/>
          <w:color w:val="1A1A2A"/>
          <w:sz w:val="22"/>
          <w:szCs w:val="22"/>
        </w:rPr>
        <w:t xml:space="preserve">Israeli partner: PRCM | ASRL (algorithm development, Hebrew/Arabic language support, IDF deployment)</w:t>
      </w:r>
    </w:p>
    <w:p>
      <w:pPr>
        <w:pStyle w:val="ListParagraph"/>
        <w:numPr>
          <w:ilvl w:val="0"/>
          <w:numId w:val="2"/>
        </w:numPr>
        <w:spacing w:after="40" w:before="40"/>
      </w:pPr>
      <w:r>
        <w:rPr>
          <w:rFonts w:ascii="Arial" w:cs="Arial" w:eastAsia="Arial" w:hAnsi="Arial"/>
          <w:color w:val="1A1A2A"/>
          <w:sz w:val="22"/>
          <w:szCs w:val="22"/>
        </w:rPr>
        <w:t xml:space="preserve">US partner: Target healthcare CME provider or US higher education institution (to be identified in parallel with US market entry)</w:t>
      </w:r>
    </w:p>
    <w:p>
      <w:pPr>
        <w:pStyle w:val="ListParagraph"/>
        <w:numPr>
          <w:ilvl w:val="0"/>
          <w:numId w:val="2"/>
        </w:numPr>
        <w:spacing w:after="40" w:before="40"/>
      </w:pPr>
      <w:r>
        <w:rPr>
          <w:rFonts w:ascii="Arial" w:cs="Arial" w:eastAsia="Arial" w:hAnsi="Arial"/>
          <w:color w:val="1A1A2A"/>
          <w:sz w:val="22"/>
          <w:szCs w:val="22"/>
        </w:rPr>
        <w:t xml:space="preserve">BIRD grant amount: Up to $1M USD per company (∼$2M total), non-dilutive, matched by companies</w:t>
      </w:r>
    </w:p>
    <w:p>
      <w:pPr>
        <w:pStyle w:val="ListParagraph"/>
        <w:numPr>
          <w:ilvl w:val="0"/>
          <w:numId w:val="2"/>
        </w:numPr>
        <w:spacing w:after="40" w:before="40"/>
      </w:pPr>
      <w:r>
        <w:rPr>
          <w:rFonts w:ascii="Arial" w:cs="Arial" w:eastAsia="Arial" w:hAnsi="Arial"/>
          <w:color w:val="1A1A2A"/>
          <w:sz w:val="22"/>
          <w:szCs w:val="22"/>
        </w:rPr>
        <w:t xml:space="preserve">Application timeline: Month 6-12 after IIA incorporation — requires US partner identification</w:t>
      </w:r>
    </w:p>
    <w:p>
      <w:pPr>
        <w:pStyle w:val="ListParagraph"/>
        <w:numPr>
          <w:ilvl w:val="0"/>
          <w:numId w:val="2"/>
        </w:numPr>
        <w:spacing w:after="40" w:before="40"/>
      </w:pPr>
      <w:r>
        <w:rPr>
          <w:rFonts w:ascii="Arial" w:cs="Arial" w:eastAsia="Arial" w:hAnsi="Arial"/>
          <w:color w:val="1A1A2A"/>
          <w:sz w:val="22"/>
          <w:szCs w:val="22"/>
        </w:rPr>
        <w:t xml:space="preserve">Strategic value beyond funding: BIRD partnership creates US institutional reference customer and accelerates Series A</w:t>
      </w:r>
    </w:p>
    <w:p>
      <w:pPr>
        <w:spacing w:after="80" w:before="0"/>
      </w:pPr>
      <w:r>
        <w:t xml:space="preserve"/>
      </w:r>
    </w:p>
    <w:p>
      <w:pPr>
        <w:pStyle w:val="Heading2"/>
        <w:spacing w:after="80" w:before="260"/>
      </w:pPr>
      <w:r>
        <w:rPr>
          <w:rFonts w:ascii="Arial" w:cs="Arial" w:eastAsia="Arial" w:hAnsi="Arial"/>
          <w:b/>
          <w:bCs/>
          <w:color w:val="0038B8"/>
          <w:sz w:val="26"/>
          <w:szCs w:val="26"/>
        </w:rPr>
        <w:t xml:space="preserve">5c.  Ecosystem Partnerships</w:t>
      </w:r>
    </w:p>
    <w:p>
      <w:pPr>
        <w:pStyle w:val="ListParagraph"/>
        <w:numPr>
          <w:ilvl w:val="0"/>
          <w:numId w:val="2"/>
        </w:numPr>
        <w:spacing w:after="40" w:before="40"/>
      </w:pPr>
      <w:r>
        <w:rPr>
          <w:rFonts w:ascii="Arial" w:cs="Arial" w:eastAsia="Arial" w:hAnsi="Arial"/>
          <w:color w:val="1A1A2A"/>
          <w:sz w:val="22"/>
          <w:szCs w:val="22"/>
        </w:rPr>
        <w:t xml:space="preserve">Start-Up Nation Central: Platform mapping for Israeli-US partnership opportunities and investor intros</w:t>
      </w:r>
    </w:p>
    <w:p>
      <w:pPr>
        <w:pStyle w:val="ListParagraph"/>
        <w:numPr>
          <w:ilvl w:val="0"/>
          <w:numId w:val="2"/>
        </w:numPr>
        <w:spacing w:after="40" w:before="40"/>
      </w:pPr>
      <w:r>
        <w:rPr>
          <w:rFonts w:ascii="Arial" w:cs="Arial" w:eastAsia="Arial" w:hAnsi="Arial"/>
          <w:color w:val="1A1A2A"/>
          <w:sz w:val="22"/>
          <w:szCs w:val="22"/>
        </w:rPr>
        <w:t xml:space="preserve">OurCrowd investment platform: Equity crowdfunding round accessible to global accredited investors via OurCrowd portal</w:t>
      </w:r>
    </w:p>
    <w:p>
      <w:pPr>
        <w:pStyle w:val="ListParagraph"/>
        <w:numPr>
          <w:ilvl w:val="0"/>
          <w:numId w:val="2"/>
        </w:numPr>
        <w:spacing w:after="40" w:before="40"/>
      </w:pPr>
      <w:r>
        <w:rPr>
          <w:rFonts w:ascii="Arial" w:cs="Arial" w:eastAsia="Arial" w:hAnsi="Arial"/>
          <w:color w:val="1A1A2A"/>
          <w:sz w:val="22"/>
          <w:szCs w:val="22"/>
        </w:rPr>
        <w:t xml:space="preserve">Yozma-era investor network: Established Israeli VC relationships (Team8, Pitango, Viola) with education and deep-tech investment thesis</w:t>
      </w:r>
    </w:p>
    <w:p>
      <w:pPr>
        <w:pStyle w:val="ListParagraph"/>
        <w:numPr>
          <w:ilvl w:val="0"/>
          <w:numId w:val="2"/>
        </w:numPr>
        <w:spacing w:after="40" w:before="40"/>
      </w:pPr>
      <w:r>
        <w:rPr>
          <w:rFonts w:ascii="Arial" w:cs="Arial" w:eastAsia="Arial" w:hAnsi="Arial"/>
          <w:color w:val="1A1A2A"/>
          <w:sz w:val="22"/>
          <w:szCs w:val="22"/>
        </w:rPr>
        <w:t xml:space="preserve">Unit 8200 Alumni Association: Distribution channel for cyber certification Pro tier and enterprise sales into Unit 8200-founded companies</w:t>
      </w:r>
    </w:p>
    <w:p>
      <w:pPr>
        <w:pStyle w:val="ListParagraph"/>
        <w:numPr>
          <w:ilvl w:val="0"/>
          <w:numId w:val="2"/>
        </w:numPr>
        <w:spacing w:after="40" w:before="40"/>
      </w:pPr>
      <w:r>
        <w:rPr>
          <w:rFonts w:ascii="Arial" w:cs="Arial" w:eastAsia="Arial" w:hAnsi="Arial"/>
          <w:color w:val="1A1A2A"/>
          <w:sz w:val="22"/>
          <w:szCs w:val="22"/>
        </w:rPr>
        <w:t xml:space="preserve">IDF Industry Liaison: Ministry of Defense procurement office engagement for institutional defense training contract</w:t>
      </w:r>
    </w:p>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6.  Business Model and Revenue Streams</w:t>
      </w:r>
    </w:p>
    <w:p>
      <w:pPr>
        <w:pStyle w:val="Heading2"/>
        <w:spacing w:after="80" w:before="260"/>
      </w:pPr>
      <w:r>
        <w:rPr>
          <w:rFonts w:ascii="Arial" w:cs="Arial" w:eastAsia="Arial" w:hAnsi="Arial"/>
          <w:b/>
          <w:bCs/>
          <w:color w:val="0038B8"/>
          <w:sz w:val="26"/>
          <w:szCs w:val="26"/>
        </w:rPr>
        <w:t xml:space="preserve">6a.  Revenue Tiers — USD and 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2520"/>
        <w:gridCol w:w="3240"/>
      </w:tblGrid>
      <w:tr>
        <w:tc>
          <w:tcPr>
            <w:tcW w:type="dxa" w:w="14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w:t>
            </w:r>
          </w:p>
        </w:tc>
        <w:tc>
          <w:tcPr>
            <w:tcW w:type="dxa" w:w="12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Price (USD)</w:t>
            </w:r>
          </w:p>
        </w:tc>
        <w:tc>
          <w:tcPr>
            <w:tcW w:type="dxa" w:w="12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Price (ILS)</w:t>
            </w:r>
          </w:p>
        </w:tc>
        <w:tc>
          <w:tcPr>
            <w:tcW w:type="dxa" w:w="252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Israeli Target Buyer</w:t>
            </w:r>
          </w:p>
        </w:tc>
        <w:tc>
          <w:tcPr>
            <w:tcW w:type="dxa" w:w="32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Value Drivers</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Free</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$0/mo</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₪0/mo</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Individual students, IDF learners</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SM-2 + analytics + 5 decks + Hebrew/Arabic UI</w:t>
            </w:r>
          </w:p>
        </w:tc>
      </w:tr>
      <w:tr>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Pro</w:t>
            </w:r>
          </w:p>
        </w:tc>
        <w:tc>
          <w:tcPr>
            <w:tcW w:type="dxa" w:w="12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$19/mo</w:t>
            </w:r>
          </w:p>
        </w:tc>
        <w:tc>
          <w:tcPr>
            <w:tcW w:type="dxa" w:w="12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₪70/mo</w:t>
            </w:r>
          </w:p>
        </w:tc>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Exam candidates, cyber cert, university students</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All 3 algorithms + 13 diagnostics + Groq AI + RPG</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Unit / School</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$299/mo</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₪1,100/mo</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IDF units, university departments, schools</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Leaderboard + biometric + commander/teacher dashboard + 50 seats + evidence bundle</w:t>
            </w:r>
          </w:p>
        </w:tc>
      </w:tr>
      <w:tr>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Enterprise</w:t>
            </w:r>
          </w:p>
        </w:tc>
        <w:tc>
          <w:tcPr>
            <w:tcW w:type="dxa" w:w="12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Custom</w:t>
            </w:r>
          </w:p>
        </w:tc>
        <w:tc>
          <w:tcPr>
            <w:tcW w:type="dxa" w:w="12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Custom</w:t>
            </w:r>
          </w:p>
        </w:tc>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IDF Education Corps, hospital systems, tech companies</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LMS + SSO + Hebrew white-label + Privacy Law package + dedicated CSM</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6b.  Israeli-Specific Revenue Streams</w:t>
      </w:r>
    </w:p>
    <w:p>
      <w:pPr>
        <w:pStyle w:val="ListParagraph"/>
        <w:numPr>
          <w:ilvl w:val="0"/>
          <w:numId w:val="2"/>
        </w:numPr>
        <w:spacing w:after="40" w:before="40"/>
      </w:pPr>
      <w:r>
        <w:rPr>
          <w:rFonts w:ascii="Arial" w:cs="Arial" w:eastAsia="Arial" w:hAnsi="Arial"/>
          <w:color w:val="1A1A2A"/>
          <w:sz w:val="22"/>
          <w:szCs w:val="22"/>
        </w:rPr>
        <w:t xml:space="preserve">IDF Defense Training Contract: Multi-year institutional contract with IDF Education Corps (Agam) — 50-500 seat deployment, enterprise tier</w:t>
      </w:r>
    </w:p>
    <w:p>
      <w:pPr>
        <w:pStyle w:val="ListParagraph"/>
        <w:numPr>
          <w:ilvl w:val="0"/>
          <w:numId w:val="2"/>
        </w:numPr>
        <w:spacing w:after="40" w:before="40"/>
      </w:pPr>
      <w:r>
        <w:rPr>
          <w:rFonts w:ascii="Arial" w:cs="Arial" w:eastAsia="Arial" w:hAnsi="Arial"/>
          <w:color w:val="1A1A2A"/>
          <w:sz w:val="22"/>
          <w:szCs w:val="22"/>
        </w:rPr>
        <w:t xml:space="preserve">Hebrew/Arabic Language Pack Premium: Additional fee for specialized Hebrew/Arabic Deck Forge GPT content generation with Israeli exam formatting</w:t>
      </w:r>
    </w:p>
    <w:p>
      <w:pPr>
        <w:pStyle w:val="ListParagraph"/>
        <w:numPr>
          <w:ilvl w:val="0"/>
          <w:numId w:val="2"/>
        </w:numPr>
        <w:spacing w:after="40" w:before="40"/>
      </w:pPr>
      <w:r>
        <w:rPr>
          <w:rFonts w:ascii="Arial" w:cs="Arial" w:eastAsia="Arial" w:hAnsi="Arial"/>
          <w:color w:val="1A1A2A"/>
          <w:sz w:val="22"/>
          <w:szCs w:val="22"/>
        </w:rPr>
        <w:t xml:space="preserve">Psychometric Test Prep (PET): Israeli Psychometric Entrance Test preparation using IRT CAT engine matching PET’s adaptive format</w:t>
      </w:r>
    </w:p>
    <w:p>
      <w:pPr>
        <w:pStyle w:val="ListParagraph"/>
        <w:numPr>
          <w:ilvl w:val="0"/>
          <w:numId w:val="2"/>
        </w:numPr>
        <w:spacing w:after="40" w:before="40"/>
      </w:pPr>
      <w:r>
        <w:rPr>
          <w:rFonts w:ascii="Arial" w:cs="Arial" w:eastAsia="Arial" w:hAnsi="Arial"/>
          <w:color w:val="1A1A2A"/>
          <w:sz w:val="22"/>
          <w:szCs w:val="22"/>
        </w:rPr>
        <w:t xml:space="preserve">Bagrut Exam Preparation: Israeli matriculation exam study support via FSRS-tuned decks in Hebrew and Arabic</w:t>
      </w:r>
    </w:p>
    <w:p>
      <w:pPr>
        <w:pStyle w:val="ListParagraph"/>
        <w:numPr>
          <w:ilvl w:val="0"/>
          <w:numId w:val="2"/>
        </w:numPr>
        <w:spacing w:after="40" w:before="40"/>
      </w:pPr>
      <w:r>
        <w:rPr>
          <w:rFonts w:ascii="Arial" w:cs="Arial" w:eastAsia="Arial" w:hAnsi="Arial"/>
          <w:color w:val="1A1A2A"/>
          <w:sz w:val="22"/>
          <w:szCs w:val="22"/>
        </w:rPr>
        <w:t xml:space="preserve">Israeli Medical Continuing Education: CME documentation for Clalit, Maccabi, and Meuhedet medical staff certification requirements</w:t>
      </w:r>
    </w:p>
    <w:p>
      <w:pPr>
        <w:pStyle w:val="ListParagraph"/>
        <w:numPr>
          <w:ilvl w:val="0"/>
          <w:numId w:val="2"/>
        </w:numPr>
        <w:spacing w:after="40" w:before="40"/>
      </w:pPr>
      <w:r>
        <w:rPr>
          <w:rFonts w:ascii="Arial" w:cs="Arial" w:eastAsia="Arial" w:hAnsi="Arial"/>
          <w:color w:val="1A1A2A"/>
          <w:sz w:val="22"/>
          <w:szCs w:val="22"/>
        </w:rPr>
        <w:t xml:space="preserve">Research Data Licensing: Anonymized learning data partnerships with Technion and Hebrew University AI research labs</w:t>
      </w:r>
    </w:p>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7.  Israeli Go-to-Market Strategy</w:t>
      </w:r>
    </w:p>
    <w:p>
      <w:pPr>
        <w:pStyle w:val="Heading2"/>
        <w:spacing w:after="80" w:before="260"/>
      </w:pPr>
      <w:r>
        <w:rPr>
          <w:rFonts w:ascii="Arial" w:cs="Arial" w:eastAsia="Arial" w:hAnsi="Arial"/>
          <w:b/>
          <w:bCs/>
          <w:color w:val="0038B8"/>
          <w:sz w:val="26"/>
          <w:szCs w:val="26"/>
        </w:rPr>
        <w:t xml:space="preserve">7a.  IDF Channel — Priority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8B8" w:sz="1"/>
              <w:left w:val="single" w:color="0038B8" w:sz="16"/>
              <w:bottom w:val="single" w:color="0038B8" w:sz="1"/>
              <w:right w:val="single" w:color="E2E8F0" w:sz="1"/>
            </w:tcBorders>
            <w:shd w:fill="EEF2FF" w:val="clear"/>
            <w:tcMar>
              <w:top w:type="dxa" w:w="120"/>
              <w:left w:type="dxa" w:w="200"/>
              <w:bottom w:type="dxa" w:w="120"/>
              <w:right w:type="dxa" w:w="120"/>
            </w:tcMar>
          </w:tcPr>
          <w:p>
            <w:pPr>
              <w:spacing w:after="80" w:before="0"/>
            </w:pPr>
            <w:r>
              <w:rPr>
                <w:rFonts w:ascii="Arial" w:cs="Arial" w:eastAsia="Arial" w:hAnsi="Arial"/>
                <w:b/>
                <w:bCs/>
                <w:color w:val="0038B8"/>
                <w:sz w:val="20"/>
                <w:szCs w:val="20"/>
              </w:rPr>
              <w:t xml:space="preserve">IDF &amp; Defense Channel</w:t>
            </w:r>
          </w:p>
          <w:p>
            <w:pPr>
              <w:spacing w:after="120" w:before="60"/>
            </w:pPr>
            <w:r>
              <w:rPr>
                <w:rFonts w:ascii="Arial" w:cs="Arial" w:eastAsia="Arial" w:hAnsi="Arial"/>
                <w:color w:val="1A1A2A"/>
                <w:sz w:val="22"/>
                <w:szCs w:val="22"/>
              </w:rPr>
              <w:t xml:space="preserve">Entry: IDF Education Corps (Mador Hinuch / Agam) pilot with one unit — 50-seat School Edition deployment.</w:t>
            </w:r>
          </w:p>
          <w:p>
            <w:pPr>
              <w:pStyle w:val="ListParagraph"/>
              <w:numPr>
                <w:ilvl w:val="0"/>
                <w:numId w:val="2"/>
              </w:numPr>
              <w:spacing w:after="40" w:before="40"/>
            </w:pPr>
            <w:r>
              <w:rPr>
                <w:rFonts w:ascii="Arial" w:cs="Arial" w:eastAsia="Arial" w:hAnsi="Arial"/>
                <w:color w:val="1A1A2A"/>
                <w:sz w:val="22"/>
                <w:szCs w:val="22"/>
              </w:rPr>
              <w:t xml:space="preserve">IRT CAT engine matches IDF classification exam psychometric format (similar to Israeli Psychometric Entrance Test)</w:t>
            </w:r>
          </w:p>
          <w:p>
            <w:pPr>
              <w:pStyle w:val="ListParagraph"/>
              <w:numPr>
                <w:ilvl w:val="0"/>
                <w:numId w:val="2"/>
              </w:numPr>
              <w:spacing w:after="40" w:before="40"/>
            </w:pPr>
            <w:r>
              <w:rPr>
                <w:rFonts w:ascii="Arial" w:cs="Arial" w:eastAsia="Arial" w:hAnsi="Arial"/>
                <w:color w:val="1A1A2A"/>
                <w:sz w:val="22"/>
                <w:szCs w:val="22"/>
              </w:rPr>
              <w:t xml:space="preserve">Commander dashboard maps exactly to IDF training officer accountability requirements</w:t>
            </w:r>
          </w:p>
          <w:p>
            <w:pPr>
              <w:pStyle w:val="ListParagraph"/>
              <w:numPr>
                <w:ilvl w:val="0"/>
                <w:numId w:val="2"/>
              </w:numPr>
              <w:spacing w:after="40" w:before="40"/>
            </w:pPr>
            <w:r>
              <w:rPr>
                <w:rFonts w:ascii="Arial" w:cs="Arial" w:eastAsia="Arial" w:hAnsi="Arial"/>
                <w:color w:val="1A1A2A"/>
                <w:sz w:val="22"/>
                <w:szCs w:val="22"/>
              </w:rPr>
              <w:t xml:space="preserve">Evidence bundle per trainee provides documented mastery proof for promotion and certification decisions</w:t>
            </w:r>
          </w:p>
          <w:p>
            <w:pPr>
              <w:pStyle w:val="ListParagraph"/>
              <w:numPr>
                <w:ilvl w:val="0"/>
                <w:numId w:val="2"/>
              </w:numPr>
              <w:spacing w:after="40" w:before="40"/>
            </w:pPr>
            <w:r>
              <w:rPr>
                <w:rFonts w:ascii="Arial" w:cs="Arial" w:eastAsia="Arial" w:hAnsi="Arial"/>
                <w:color w:val="1A1A2A"/>
                <w:sz w:val="22"/>
                <w:szCs w:val="22"/>
              </w:rPr>
              <w:t xml:space="preserve">Biometric monitoring for training fatigue and stress — directly applicable to high-intensity IDF training environments</w:t>
            </w:r>
          </w:p>
          <w:p>
            <w:pPr>
              <w:pStyle w:val="ListParagraph"/>
              <w:numPr>
                <w:ilvl w:val="0"/>
                <w:numId w:val="2"/>
              </w:numPr>
              <w:spacing w:after="40" w:before="40"/>
            </w:pPr>
            <w:r>
              <w:rPr>
                <w:rFonts w:ascii="Arial" w:cs="Arial" w:eastAsia="Arial" w:hAnsi="Arial"/>
                <w:color w:val="1A1A2A"/>
                <w:sz w:val="22"/>
                <w:szCs w:val="22"/>
              </w:rPr>
              <w:t xml:space="preserve">Deterministic scheduling for mission-critical certifications — removes algorithmic variance in regulated sequences</w:t>
            </w:r>
          </w:p>
          <w:p>
            <w:pPr>
              <w:pStyle w:val="ListParagraph"/>
              <w:numPr>
                <w:ilvl w:val="0"/>
                <w:numId w:val="2"/>
              </w:numPr>
              <w:spacing w:after="40" w:before="40"/>
            </w:pPr>
            <w:r>
              <w:rPr>
                <w:rFonts w:ascii="Arial" w:cs="Arial" w:eastAsia="Arial" w:hAnsi="Arial"/>
                <w:color w:val="1A1A2A"/>
                <w:sz w:val="22"/>
                <w:szCs w:val="22"/>
              </w:rPr>
              <w:t xml:space="preserve">Path from pilot unit → brigade → IDF Education Corps institutional contract</w:t>
            </w:r>
          </w:p>
          <w:p>
            <w:pPr>
              <w:pStyle w:val="ListParagraph"/>
              <w:numPr>
                <w:ilvl w:val="0"/>
                <w:numId w:val="2"/>
              </w:numPr>
              <w:spacing w:after="40" w:before="40"/>
            </w:pPr>
            <w:r>
              <w:rPr>
                <w:rFonts w:ascii="Arial" w:cs="Arial" w:eastAsia="Arial" w:hAnsi="Arial"/>
                <w:color w:val="1A1A2A"/>
                <w:sz w:val="22"/>
                <w:szCs w:val="22"/>
              </w:rPr>
              <w:t xml:space="preserve">Contact pathway: retired IDF officer advisory board member → Agam introduction</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7b.  University Channel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
              <w:left w:val="single" w:color="028090" w:sz="16"/>
              <w:bottom w:val="single" w:color="028090" w:sz="1"/>
              <w:right w:val="single" w:color="E2E8F0" w:sz="1"/>
            </w:tcBorders>
            <w:shd w:fill="EEF9FB" w:val="clear"/>
            <w:tcMar>
              <w:top w:type="dxa" w:w="120"/>
              <w:left w:type="dxa" w:w="200"/>
              <w:bottom w:type="dxa" w:w="120"/>
              <w:right w:type="dxa" w:w="120"/>
            </w:tcMar>
          </w:tcPr>
          <w:p>
            <w:pPr>
              <w:spacing w:after="80" w:before="0"/>
            </w:pPr>
            <w:r>
              <w:rPr>
                <w:rFonts w:ascii="Arial" w:cs="Arial" w:eastAsia="Arial" w:hAnsi="Arial"/>
                <w:b/>
                <w:bCs/>
                <w:color w:val="028090"/>
                <w:sz w:val="20"/>
                <w:szCs w:val="20"/>
              </w:rPr>
              <w:t xml:space="preserve">Technion / TAU / Hebrew University / BGU Channel</w:t>
            </w:r>
          </w:p>
          <w:p>
            <w:pPr>
              <w:spacing w:after="120" w:before="60"/>
            </w:pPr>
            <w:r>
              <w:rPr>
                <w:rFonts w:ascii="Arial" w:cs="Arial" w:eastAsia="Arial" w:hAnsi="Arial"/>
                <w:color w:val="1A1A2A"/>
                <w:sz w:val="22"/>
                <w:szCs w:val="22"/>
              </w:rPr>
              <w:t xml:space="preserve">Entry: 1 university department pilot (engineering or medicine) — School Edition deployment with faculty dashboard.</w:t>
            </w:r>
          </w:p>
          <w:p>
            <w:pPr>
              <w:pStyle w:val="ListParagraph"/>
              <w:numPr>
                <w:ilvl w:val="0"/>
                <w:numId w:val="2"/>
              </w:numPr>
              <w:spacing w:after="40" w:before="40"/>
            </w:pPr>
            <w:r>
              <w:rPr>
                <w:rFonts w:ascii="Arial" w:cs="Arial" w:eastAsia="Arial" w:hAnsi="Arial"/>
                <w:color w:val="1A1A2A"/>
                <w:sz w:val="22"/>
                <w:szCs w:val="22"/>
              </w:rPr>
              <w:t xml:space="preserve">UTE assessment + Deck Forge + ASRL loop for semester-long course mastery — replaces passive study</w:t>
            </w:r>
          </w:p>
          <w:p>
            <w:pPr>
              <w:pStyle w:val="ListParagraph"/>
              <w:numPr>
                <w:ilvl w:val="0"/>
                <w:numId w:val="2"/>
              </w:numPr>
              <w:spacing w:after="40" w:before="40"/>
            </w:pPr>
            <w:r>
              <w:rPr>
                <w:rFonts w:ascii="Arial" w:cs="Arial" w:eastAsia="Arial" w:hAnsi="Arial"/>
                <w:color w:val="1A1A2A"/>
                <w:sz w:val="22"/>
                <w:szCs w:val="22"/>
              </w:rPr>
              <w:t xml:space="preserve">Hebrew and Arabic Deck Forge for course material conversion — 10× faster than manual card creation</w:t>
            </w:r>
          </w:p>
          <w:p>
            <w:pPr>
              <w:pStyle w:val="ListParagraph"/>
              <w:numPr>
                <w:ilvl w:val="0"/>
                <w:numId w:val="2"/>
              </w:numPr>
              <w:spacing w:after="40" w:before="40"/>
            </w:pPr>
            <w:r>
              <w:rPr>
                <w:rFonts w:ascii="Arial" w:cs="Arial" w:eastAsia="Arial" w:hAnsi="Arial"/>
                <w:color w:val="1A1A2A"/>
                <w:sz w:val="22"/>
                <w:szCs w:val="22"/>
              </w:rPr>
              <w:t xml:space="preserve">FSRS configures retention targets aligned to specific exam standards (USMLE, Israeli licensing exams)</w:t>
            </w:r>
          </w:p>
          <w:p>
            <w:pPr>
              <w:pStyle w:val="ListParagraph"/>
              <w:numPr>
                <w:ilvl w:val="0"/>
                <w:numId w:val="2"/>
              </w:numPr>
              <w:spacing w:after="40" w:before="40"/>
            </w:pPr>
            <w:r>
              <w:rPr>
                <w:rFonts w:ascii="Arial" w:cs="Arial" w:eastAsia="Arial" w:hAnsi="Arial"/>
                <w:color w:val="1A1A2A"/>
                <w:sz w:val="22"/>
                <w:szCs w:val="22"/>
              </w:rPr>
              <w:t xml:space="preserve">KDD 2022 and TKDE 2023 research citations provide academic credibility for faculty adoption</w:t>
            </w:r>
          </w:p>
          <w:p>
            <w:pPr>
              <w:pStyle w:val="ListParagraph"/>
              <w:numPr>
                <w:ilvl w:val="0"/>
                <w:numId w:val="2"/>
              </w:numPr>
              <w:spacing w:after="40" w:before="40"/>
            </w:pPr>
            <w:r>
              <w:rPr>
                <w:rFonts w:ascii="Arial" w:cs="Arial" w:eastAsia="Arial" w:hAnsi="Arial"/>
                <w:color w:val="1A1A2A"/>
                <w:sz w:val="22"/>
                <w:szCs w:val="22"/>
              </w:rPr>
              <w:t xml:space="preserve">Path from departmental pilot → school-wide license → university framework agreement</w:t>
            </w:r>
          </w:p>
          <w:p>
            <w:pPr>
              <w:pStyle w:val="ListParagraph"/>
              <w:numPr>
                <w:ilvl w:val="0"/>
                <w:numId w:val="2"/>
              </w:numPr>
              <w:spacing w:after="40" w:before="40"/>
            </w:pPr>
            <w:r>
              <w:rPr>
                <w:rFonts w:ascii="Arial" w:cs="Arial" w:eastAsia="Arial" w:hAnsi="Arial"/>
                <w:color w:val="1A1A2A"/>
                <w:sz w:val="22"/>
                <w:szCs w:val="22"/>
              </w:rPr>
              <w:t xml:space="preserve">Contact pathway: Technion research office → faculty member in cognitive science or educational technology</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7c.  High-Tech and Cyber Channel</w:t>
      </w:r>
    </w:p>
    <w:p>
      <w:pPr>
        <w:pStyle w:val="ListParagraph"/>
        <w:numPr>
          <w:ilvl w:val="0"/>
          <w:numId w:val="2"/>
        </w:numPr>
        <w:spacing w:after="40" w:before="40"/>
      </w:pPr>
      <w:r>
        <w:rPr>
          <w:rFonts w:ascii="Arial" w:cs="Arial" w:eastAsia="Arial" w:hAnsi="Arial"/>
          <w:color w:val="1A1A2A"/>
          <w:sz w:val="22"/>
          <w:szCs w:val="22"/>
        </w:rPr>
        <w:t xml:space="preserve">Unit 8200 alumni network: highest-density cyber talent distribution channel in Israel — CISSP/CEH cert prep using IRT CAT</w:t>
      </w:r>
    </w:p>
    <w:p>
      <w:pPr>
        <w:pStyle w:val="ListParagraph"/>
        <w:numPr>
          <w:ilvl w:val="0"/>
          <w:numId w:val="2"/>
        </w:numPr>
        <w:spacing w:after="40" w:before="40"/>
      </w:pPr>
      <w:r>
        <w:rPr>
          <w:rFonts w:ascii="Arial" w:cs="Arial" w:eastAsia="Arial" w:hAnsi="Arial"/>
          <w:color w:val="1A1A2A"/>
          <w:sz w:val="22"/>
          <w:szCs w:val="22"/>
        </w:rPr>
        <w:t xml:space="preserve">Intel Israel, Microsoft Israel, Google Israel: L&amp;D departments seeking measurable upskilling outcomes for 30,000+ Israeli employees</w:t>
      </w:r>
    </w:p>
    <w:p>
      <w:pPr>
        <w:pStyle w:val="ListParagraph"/>
        <w:numPr>
          <w:ilvl w:val="0"/>
          <w:numId w:val="2"/>
        </w:numPr>
        <w:spacing w:after="40" w:before="40"/>
      </w:pPr>
      <w:r>
        <w:rPr>
          <w:rFonts w:ascii="Arial" w:cs="Arial" w:eastAsia="Arial" w:hAnsi="Arial"/>
          <w:color w:val="1A1A2A"/>
          <w:sz w:val="22"/>
          <w:szCs w:val="22"/>
        </w:rPr>
        <w:t xml:space="preserve">Israeli startup ecosystem (7,000+ companies): Pro tier individual adoption → team licenses → enterprise agreements</w:t>
      </w:r>
    </w:p>
    <w:p>
      <w:pPr>
        <w:pStyle w:val="ListParagraph"/>
        <w:numPr>
          <w:ilvl w:val="0"/>
          <w:numId w:val="2"/>
        </w:numPr>
        <w:spacing w:after="40" w:before="40"/>
      </w:pPr>
      <w:r>
        <w:rPr>
          <w:rFonts w:ascii="Arial" w:cs="Arial" w:eastAsia="Arial" w:hAnsi="Arial"/>
          <w:color w:val="1A1A2A"/>
          <w:sz w:val="22"/>
          <w:szCs w:val="22"/>
        </w:rPr>
        <w:t xml:space="preserve">Israeli Cyber Training Organizations: HackerU, SELA Group, John Bryce Training — institutional licensing pathway</w:t>
      </w:r>
    </w:p>
    <w:p>
      <w:pPr>
        <w:pStyle w:val="ListParagraph"/>
        <w:numPr>
          <w:ilvl w:val="0"/>
          <w:numId w:val="2"/>
        </w:numPr>
        <w:spacing w:after="40" w:before="40"/>
      </w:pPr>
      <w:r>
        <w:rPr>
          <w:rFonts w:ascii="Arial" w:cs="Arial" w:eastAsia="Arial" w:hAnsi="Arial"/>
          <w:color w:val="1A1A2A"/>
          <w:sz w:val="22"/>
          <w:szCs w:val="22"/>
        </w:rPr>
        <w:t xml:space="preserve">Cyber Guild / ICS2 Israel Chapter: professional certification community distribution</w:t>
      </w:r>
    </w:p>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8.  Management Team</w:t>
      </w:r>
    </w:p>
    <w:p>
      <w:pPr>
        <w:pStyle w:val="Heading2"/>
        <w:spacing w:after="80" w:before="260"/>
      </w:pPr>
      <w:r>
        <w:rPr>
          <w:rFonts w:ascii="Arial" w:cs="Arial" w:eastAsia="Arial" w:hAnsi="Arial"/>
          <w:b/>
          <w:bCs/>
          <w:color w:val="0038B8"/>
          <w:sz w:val="26"/>
          <w:szCs w:val="26"/>
        </w:rPr>
        <w:t xml:space="preserve">8a.  Founding Team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8B8" w:sz="1"/>
              <w:left w:val="single" w:color="0038B8" w:sz="16"/>
              <w:bottom w:val="single" w:color="0038B8" w:sz="1"/>
              <w:right w:val="single" w:color="E2E8F0" w:sz="1"/>
            </w:tcBorders>
            <w:shd w:fill="EEF2FF" w:val="clear"/>
            <w:tcMar>
              <w:top w:type="dxa" w:w="120"/>
              <w:left w:type="dxa" w:w="200"/>
              <w:bottom w:type="dxa" w:w="120"/>
              <w:right w:type="dxa" w:w="120"/>
            </w:tcMar>
          </w:tcPr>
          <w:p>
            <w:pPr>
              <w:spacing w:after="80" w:before="0"/>
            </w:pPr>
            <w:r>
              <w:rPr>
                <w:rFonts w:ascii="Arial" w:cs="Arial" w:eastAsia="Arial" w:hAnsi="Arial"/>
                <w:b/>
                <w:bCs/>
                <w:color w:val="0038B8"/>
                <w:sz w:val="20"/>
                <w:szCs w:val="20"/>
              </w:rPr>
              <w:t xml:space="preserve">Founder &amp; CEO</w:t>
            </w:r>
          </w:p>
          <w:p>
            <w:pPr>
              <w:spacing w:after="120" w:before="60"/>
            </w:pPr>
            <w:r>
              <w:rPr>
                <w:rFonts w:ascii="Arial" w:cs="Arial" w:eastAsia="Arial" w:hAnsi="Arial"/>
                <w:color w:val="1A1A2A"/>
                <w:sz w:val="22"/>
                <w:szCs w:val="22"/>
              </w:rPr>
              <w:t xml:space="preserve">Background: Cybersecurity consulting (Diatasso LLC), organizational development, technology-enabled learning. Architected the PRCM closed-loop ecosystem and contract-governed AI integration philosophy. Leads Israeli market strategy, IIA grant application, IDF engagement, and Series A investor relations. Deep understanding of the professional certification training market that motivates the platform.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
              <w:left w:val="single" w:color="028090" w:sz="16"/>
              <w:bottom w:val="single" w:color="028090" w:sz="1"/>
              <w:right w:val="single" w:color="E2E8F0" w:sz="1"/>
            </w:tcBorders>
            <w:shd w:fill="EEF9FB" w:val="clear"/>
            <w:tcMar>
              <w:top w:type="dxa" w:w="120"/>
              <w:left w:type="dxa" w:w="200"/>
              <w:bottom w:type="dxa" w:w="120"/>
              <w:right w:type="dxa" w:w="120"/>
            </w:tcMar>
          </w:tcPr>
          <w:p>
            <w:pPr>
              <w:spacing w:after="80" w:before="0"/>
            </w:pPr>
            <w:r>
              <w:rPr>
                <w:rFonts w:ascii="Arial" w:cs="Arial" w:eastAsia="Arial" w:hAnsi="Arial"/>
                <w:b/>
                <w:bCs/>
                <w:color w:val="028090"/>
                <w:sz w:val="20"/>
                <w:szCs w:val="20"/>
              </w:rPr>
              <w:t xml:space="preserve">Head of Learning Science</w:t>
            </w:r>
          </w:p>
          <w:p>
            <w:pPr>
              <w:spacing w:after="120" w:before="60"/>
            </w:pPr>
            <w:r>
              <w:rPr>
                <w:rFonts w:ascii="Arial" w:cs="Arial" w:eastAsia="Arial" w:hAnsi="Arial"/>
                <w:color w:val="1A1A2A"/>
                <w:sz w:val="22"/>
                <w:szCs w:val="22"/>
              </w:rPr>
              <w:t xml:space="preserve">Background: Educational psychology, SM-2/FSRS/IRT/SSP-MMC algorithm research. Primary author of algo.json v2.3.0 canonical specification and 21 conformance vectors. Ensures IRT CAT engine meets Israeli Psychometric Entrance Test and IDF classification exam psychometric standards. Leads Technion and Hebrew University academic partnership development.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8B8" w:sz="1"/>
              <w:left w:val="single" w:color="0038B8" w:sz="16"/>
              <w:bottom w:val="single" w:color="0038B8" w:sz="1"/>
              <w:right w:val="single" w:color="E2E8F0" w:sz="1"/>
            </w:tcBorders>
            <w:shd w:fill="EEF2FF" w:val="clear"/>
            <w:tcMar>
              <w:top w:type="dxa" w:w="120"/>
              <w:left w:type="dxa" w:w="200"/>
              <w:bottom w:type="dxa" w:w="120"/>
              <w:right w:type="dxa" w:w="120"/>
            </w:tcMar>
          </w:tcPr>
          <w:p>
            <w:pPr>
              <w:spacing w:after="80" w:before="0"/>
            </w:pPr>
            <w:r>
              <w:rPr>
                <w:rFonts w:ascii="Arial" w:cs="Arial" w:eastAsia="Arial" w:hAnsi="Arial"/>
                <w:b/>
                <w:bCs/>
                <w:color w:val="0038B8"/>
                <w:sz w:val="20"/>
                <w:szCs w:val="20"/>
              </w:rPr>
              <w:t xml:space="preserve">Head of Accessibility &amp; Compliance</w:t>
            </w:r>
          </w:p>
          <w:p>
            <w:pPr>
              <w:spacing w:after="120" w:before="60"/>
            </w:pPr>
            <w:r>
              <w:rPr>
                <w:rFonts w:ascii="Arial" w:cs="Arial" w:eastAsia="Arial" w:hAnsi="Arial"/>
                <w:color w:val="1A1A2A"/>
                <w:sz w:val="22"/>
                <w:szCs w:val="22"/>
              </w:rPr>
              <w:t xml:space="preserve">Background: WCAG AAA, Israeli Privacy Protection Law (2023), GDPR Article 28, biometric data governance. Leads Privacy Law compliance architecture, biometric monitoring privacy model (anonymized aggregates only), and IDF data security requirements. Responsible for the Israeli Privacy Law certification and BIRD Foundation due diligence documentation.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
              <w:left w:val="single" w:color="028090" w:sz="16"/>
              <w:bottom w:val="single" w:color="028090" w:sz="1"/>
              <w:right w:val="single" w:color="E2E8F0" w:sz="1"/>
            </w:tcBorders>
            <w:shd w:fill="EEF9FB" w:val="clear"/>
            <w:tcMar>
              <w:top w:type="dxa" w:w="120"/>
              <w:left w:type="dxa" w:w="200"/>
              <w:bottom w:type="dxa" w:w="120"/>
              <w:right w:type="dxa" w:w="120"/>
            </w:tcMar>
          </w:tcPr>
          <w:p>
            <w:pPr>
              <w:spacing w:after="80" w:before="0"/>
            </w:pPr>
            <w:r>
              <w:rPr>
                <w:rFonts w:ascii="Arial" w:cs="Arial" w:eastAsia="Arial" w:hAnsi="Arial"/>
                <w:b/>
                <w:bCs/>
                <w:color w:val="028090"/>
                <w:sz w:val="20"/>
                <w:szCs w:val="20"/>
              </w:rPr>
              <w:t xml:space="preserve">Head of Engineering</w:t>
            </w:r>
          </w:p>
          <w:p>
            <w:pPr>
              <w:spacing w:after="120" w:before="60"/>
            </w:pPr>
            <w:r>
              <w:rPr>
                <w:rFonts w:ascii="Arial" w:cs="Arial" w:eastAsia="Arial" w:hAnsi="Arial"/>
                <w:color w:val="1A1A2A"/>
                <w:sz w:val="22"/>
                <w:szCs w:val="22"/>
              </w:rPr>
              <w:t xml:space="preserve">Background: React 19, TypeScript strict, Vite 7, Vitest 4, Groq + OpenAI SDK, Three.js, D3.js. Maintains 95/95 test suite, 6 KPI gates, 98/100 Lighthouse, and the Hebrew/Arabic localization infrastructure. Leads IIA R&amp;D grant technical documentation and IDF security architecture assessment.</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8b.  Key Israeli Hires (Post-Funding)</w:t>
      </w:r>
    </w:p>
    <w:p>
      <w:pPr>
        <w:pStyle w:val="ListParagraph"/>
        <w:numPr>
          <w:ilvl w:val="0"/>
          <w:numId w:val="2"/>
        </w:numPr>
        <w:spacing w:after="40" w:before="40"/>
      </w:pPr>
      <w:r>
        <w:rPr>
          <w:rFonts w:ascii="Arial" w:cs="Arial" w:eastAsia="Arial" w:hAnsi="Arial"/>
          <w:color w:val="1A1A2A"/>
          <w:sz w:val="22"/>
          <w:szCs w:val="22"/>
        </w:rPr>
        <w:t xml:space="preserve">ML Engineer (Month 1): SSP-MMC fine-tuning with Israeli dataset, Hebrew NLP pipeline for Deck Forge, IIA R&amp;D eligible R&amp;D</w:t>
      </w:r>
    </w:p>
    <w:p>
      <w:pPr>
        <w:pStyle w:val="ListParagraph"/>
        <w:numPr>
          <w:ilvl w:val="0"/>
          <w:numId w:val="2"/>
        </w:numPr>
        <w:spacing w:after="40" w:before="40"/>
      </w:pPr>
      <w:r>
        <w:rPr>
          <w:rFonts w:ascii="Arial" w:cs="Arial" w:eastAsia="Arial" w:hAnsi="Arial"/>
          <w:color w:val="1A1A2A"/>
          <w:sz w:val="22"/>
          <w:szCs w:val="22"/>
        </w:rPr>
        <w:t xml:space="preserve">Israeli Enterprise Sales Lead (Month 2): IDF and university institutional sales, Unit 8200 ecosystem relationships, high-tech L&amp;D</w:t>
      </w:r>
    </w:p>
    <w:p>
      <w:pPr>
        <w:pStyle w:val="ListParagraph"/>
        <w:numPr>
          <w:ilvl w:val="0"/>
          <w:numId w:val="2"/>
        </w:numPr>
        <w:spacing w:after="40" w:before="40"/>
      </w:pPr>
      <w:r>
        <w:rPr>
          <w:rFonts w:ascii="Arial" w:cs="Arial" w:eastAsia="Arial" w:hAnsi="Arial"/>
          <w:color w:val="1A1A2A"/>
          <w:sz w:val="22"/>
          <w:szCs w:val="22"/>
        </w:rPr>
        <w:t xml:space="preserve">IIA Grant Manager (Month 2): Full IIA application preparation, grant reporting, Technion MAGNET program coordination</w:t>
      </w:r>
    </w:p>
    <w:p>
      <w:pPr>
        <w:pStyle w:val="ListParagraph"/>
        <w:numPr>
          <w:ilvl w:val="0"/>
          <w:numId w:val="2"/>
        </w:numPr>
        <w:spacing w:after="40" w:before="40"/>
      </w:pPr>
      <w:r>
        <w:rPr>
          <w:rFonts w:ascii="Arial" w:cs="Arial" w:eastAsia="Arial" w:hAnsi="Arial"/>
          <w:color w:val="1A1A2A"/>
          <w:sz w:val="22"/>
          <w:szCs w:val="22"/>
        </w:rPr>
        <w:t xml:space="preserve">Customer Success — Israel (Month 4): IDF unit onboarding, university departmental support, Hebrew-language customer success</w:t>
      </w:r>
    </w:p>
    <w:p>
      <w:pPr>
        <w:pStyle w:val="ListParagraph"/>
        <w:numPr>
          <w:ilvl w:val="0"/>
          <w:numId w:val="2"/>
        </w:numPr>
        <w:spacing w:after="40" w:before="40"/>
      </w:pPr>
      <w:r>
        <w:rPr>
          <w:rFonts w:ascii="Arial" w:cs="Arial" w:eastAsia="Arial" w:hAnsi="Arial"/>
          <w:color w:val="1A1A2A"/>
          <w:sz w:val="22"/>
          <w:szCs w:val="22"/>
        </w:rPr>
        <w:t xml:space="preserve">BIRD Foundation Coordinator (Month 6): US partner identification, binational application preparation</w:t>
      </w:r>
    </w:p>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9.  Financial Projections</w:t>
      </w:r>
    </w:p>
    <w:p>
      <w:pPr>
        <w:pStyle w:val="Heading2"/>
        <w:spacing w:after="80" w:before="260"/>
      </w:pPr>
      <w:r>
        <w:rPr>
          <w:rFonts w:ascii="Arial" w:cs="Arial" w:eastAsia="Arial" w:hAnsi="Arial"/>
          <w:b/>
          <w:bCs/>
          <w:color w:val="0038B8"/>
          <w:sz w:val="26"/>
          <w:szCs w:val="26"/>
        </w:rPr>
        <w:t xml:space="preserve">9a.  Revenue Projections (USD and 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80"/>
        <w:gridCol w:w="2280"/>
        <w:gridCol w:w="2280"/>
      </w:tblGrid>
      <w:tr>
        <w:tc>
          <w:tcPr>
            <w:tcW w:type="dxa" w:w="252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28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1</w:t>
            </w:r>
          </w:p>
        </w:tc>
        <w:tc>
          <w:tcPr>
            <w:tcW w:type="dxa" w:w="228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2</w:t>
            </w:r>
          </w:p>
        </w:tc>
        <w:tc>
          <w:tcPr>
            <w:tcW w:type="dxa" w:w="228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3</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Annual Recurring Revenue (USD)</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$210,000</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$1,050,000</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$3,000,000</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Annual Recurring Revenue (ILS)</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~₪770,000</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~₪3.85M</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~₪11M</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Pro Subscribers (End of Year)</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350</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1,300</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3,200</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Unit / School Clients</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6</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30</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80</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Enterprise Clients (Israel + Global)</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5</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Gross Margin</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78%</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82%</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84%</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Total Operating Expenses</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$680,000</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$980,000</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$1,560,000</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Net Position (Year End)</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($470,000)</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$70,000</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+$1,440,000</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Break-even</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Month 13</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IIA Grant (Non-dilutive)</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~₪1.5M</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w:t>
            </w:r>
          </w:p>
        </w:tc>
        <w:tc>
          <w:tcPr>
            <w:tcW w:type="dxa" w:w="228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9b.  IIA Grant Impact</w:t>
      </w:r>
    </w:p>
    <w:p>
      <w:pPr>
        <w:spacing w:after="120" w:before="60"/>
      </w:pPr>
      <w:r>
        <w:rPr>
          <w:rFonts w:ascii="Arial" w:cs="Arial" w:eastAsia="Arial" w:hAnsi="Arial"/>
          <w:color w:val="1A1A2A"/>
          <w:sz w:val="22"/>
          <w:szCs w:val="22"/>
        </w:rPr>
        <w:t xml:space="preserve">The IIA R&amp;D grant application (₪1.0M–1.5M) covers eligible R&amp;D expenditure for the SSP-MMC fine-tuning engine, Hebrew/Arabic NLP pipeline, and IRT calibration work. This non-dilutive capital reduces founder dilution at seed and extends runway by approximately 6 months, improving Series A negotiating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800"/>
        <w:gridCol w:w="3240"/>
      </w:tblGrid>
      <w:tr>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Capital Source</w:t>
            </w:r>
          </w:p>
        </w:tc>
        <w:tc>
          <w:tcPr>
            <w:tcW w:type="dxa" w:w="216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Amount</w:t>
            </w:r>
          </w:p>
        </w:tc>
        <w:tc>
          <w:tcPr>
            <w:tcW w:type="dxa" w:w="180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Dilution</w:t>
            </w:r>
          </w:p>
        </w:tc>
        <w:tc>
          <w:tcPr>
            <w:tcW w:type="dxa" w:w="32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Conditions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Investor Seed Round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$500K–$1M USD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~15–25%</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Standard Israeli SAFE or priced round</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IIA R&amp;D Grant</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~₪1.0M–1.5M USD equiv.</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0% (non-dilutive)</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Israeli incorporation + R&amp;D plan + annual reporting</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BIRD Foundation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Up to $1M USD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0% (non-dilutive)</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US partner required · Year 1–2 timeline</w:t>
            </w:r>
          </w:p>
        </w:tc>
      </w:tr>
      <w:tr>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Series A (Year 2)</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$4–$6M USD</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~20–25%</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Post Israeli proof-of-concept · US market entry</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9c.  Use of Funds (Seed + IIA)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8B8" w:sz="1"/>
              <w:left w:val="single" w:color="0038B8" w:sz="16"/>
              <w:bottom w:val="single" w:color="0038B8" w:sz="1"/>
              <w:right w:val="single" w:color="E2E8F0" w:sz="1"/>
            </w:tcBorders>
            <w:shd w:fill="EEF2FF" w:val="clear"/>
            <w:tcMar>
              <w:top w:type="dxa" w:w="120"/>
              <w:left w:type="dxa" w:w="200"/>
              <w:bottom w:type="dxa" w:w="120"/>
              <w:right w:type="dxa" w:w="120"/>
            </w:tcMar>
          </w:tcPr>
          <w:p>
            <w:pPr>
              <w:spacing w:after="80" w:before="0"/>
            </w:pPr>
            <w:r>
              <w:rPr>
                <w:rFonts w:ascii="Arial" w:cs="Arial" w:eastAsia="Arial" w:hAnsi="Arial"/>
                <w:b/>
                <w:bCs/>
                <w:color w:val="0038B8"/>
                <w:sz w:val="20"/>
                <w:szCs w:val="20"/>
              </w:rPr>
              <w:t xml:space="preserve">Seed Round: $500K–$1M USD + IIA ₪1.5M</w:t>
            </w:r>
          </w:p>
          <w:p>
            <w:pPr>
              <w:spacing w:after="120" w:before="60"/>
            </w:pPr>
            <w:r>
              <w:rPr>
                <w:rFonts w:ascii="Arial" w:cs="Arial" w:eastAsia="Arial" w:hAnsi="Arial"/>
                <w:color w:val="1A1A2A"/>
                <w:sz w:val="22"/>
                <w:szCs w:val="22"/>
              </w:rPr>
              <w:t xml:space="preserve">Use of seed investment:</w:t>
            </w:r>
          </w:p>
          <w:p>
            <w:pPr>
              <w:pStyle w:val="ListParagraph"/>
              <w:numPr>
                <w:ilvl w:val="0"/>
                <w:numId w:val="2"/>
              </w:numPr>
              <w:spacing w:after="40" w:before="40"/>
            </w:pPr>
            <w:r>
              <w:rPr>
                <w:rFonts w:ascii="Arial" w:cs="Arial" w:eastAsia="Arial" w:hAnsi="Arial"/>
                <w:color w:val="1A1A2A"/>
                <w:sz w:val="22"/>
                <w:szCs w:val="22"/>
              </w:rPr>
              <w:t xml:space="preserve">Product: Hebrew/Arabic LMS integrations, IDF-grade security features, native iOS/Android apps: $175K–$350K — 35%</w:t>
            </w:r>
          </w:p>
          <w:p>
            <w:pPr>
              <w:pStyle w:val="ListParagraph"/>
              <w:numPr>
                <w:ilvl w:val="0"/>
                <w:numId w:val="2"/>
              </w:numPr>
              <w:spacing w:after="40" w:before="40"/>
            </w:pPr>
            <w:r>
              <w:rPr>
                <w:rFonts w:ascii="Arial" w:cs="Arial" w:eastAsia="Arial" w:hAnsi="Arial"/>
                <w:color w:val="1A1A2A"/>
                <w:sz w:val="22"/>
                <w:szCs w:val="22"/>
              </w:rPr>
              <w:t xml:space="preserve">IDF + university pilot program (3 institutions, 150 seats): $125K–$250K — 25%</w:t>
            </w:r>
          </w:p>
          <w:p>
            <w:pPr>
              <w:pStyle w:val="ListParagraph"/>
              <w:numPr>
                <w:ilvl w:val="0"/>
                <w:numId w:val="2"/>
              </w:numPr>
              <w:spacing w:after="40" w:before="40"/>
            </w:pPr>
            <w:r>
              <w:rPr>
                <w:rFonts w:ascii="Arial" w:cs="Arial" w:eastAsia="Arial" w:hAnsi="Arial"/>
                <w:color w:val="1A1A2A"/>
                <w:sz w:val="22"/>
                <w:szCs w:val="22"/>
              </w:rPr>
              <w:t xml:space="preserve">Israeli team: ML Engineer + Enterprise Sales Lead + Customer Success Manager: $110K–$220K — 22%</w:t>
            </w:r>
          </w:p>
          <w:p>
            <w:pPr>
              <w:pStyle w:val="ListParagraph"/>
              <w:numPr>
                <w:ilvl w:val="0"/>
                <w:numId w:val="2"/>
              </w:numPr>
              <w:spacing w:after="40" w:before="40"/>
            </w:pPr>
            <w:r>
              <w:rPr>
                <w:rFonts w:ascii="Arial" w:cs="Arial" w:eastAsia="Arial" w:hAnsi="Arial"/>
                <w:color w:val="1A1A2A"/>
                <w:sz w:val="22"/>
                <w:szCs w:val="22"/>
              </w:rPr>
              <w:t xml:space="preserve">IIA application + IP strategy + Israeli Privacy Law certification: $50K–$100K — 10%</w:t>
            </w:r>
          </w:p>
          <w:p>
            <w:pPr>
              <w:pStyle w:val="ListParagraph"/>
              <w:numPr>
                <w:ilvl w:val="0"/>
                <w:numId w:val="2"/>
              </w:numPr>
              <w:spacing w:after="40" w:before="40"/>
            </w:pPr>
            <w:r>
              <w:rPr>
                <w:rFonts w:ascii="Arial" w:cs="Arial" w:eastAsia="Arial" w:hAnsi="Arial"/>
                <w:color w:val="1A1A2A"/>
                <w:sz w:val="22"/>
                <w:szCs w:val="22"/>
              </w:rPr>
              <w:t xml:space="preserve">Infrastructure + BIRD Foundation preparation: $40K–$80K — 8%</w:t>
            </w:r>
          </w:p>
          <w:p>
            <w:pPr>
              <w:spacing w:after="120" w:before="60"/>
            </w:pPr>
            <w:r>
              <w:rPr>
                <w:rFonts w:ascii="Arial" w:cs="Arial" w:eastAsia="Arial" w:hAnsi="Arial"/>
                <w:color w:val="1A1A2A"/>
                <w:sz w:val="22"/>
                <w:szCs w:val="22"/>
              </w:rPr>
              <w:t xml:space="preserve">IIA grant deployed against eligible R&amp;D:</w:t>
            </w:r>
          </w:p>
          <w:p>
            <w:pPr>
              <w:pStyle w:val="ListParagraph"/>
              <w:numPr>
                <w:ilvl w:val="0"/>
                <w:numId w:val="2"/>
              </w:numPr>
              <w:spacing w:after="40" w:before="40"/>
            </w:pPr>
            <w:r>
              <w:rPr>
                <w:rFonts w:ascii="Arial" w:cs="Arial" w:eastAsia="Arial" w:hAnsi="Arial"/>
                <w:color w:val="1A1A2A"/>
                <w:sz w:val="22"/>
                <w:szCs w:val="22"/>
              </w:rPr>
              <w:t xml:space="preserve">SSP-MMC fine-tuning with Israeli dataset: ₪500K</w:t>
            </w:r>
          </w:p>
          <w:p>
            <w:pPr>
              <w:pStyle w:val="ListParagraph"/>
              <w:numPr>
                <w:ilvl w:val="0"/>
                <w:numId w:val="2"/>
              </w:numPr>
              <w:spacing w:after="40" w:before="40"/>
            </w:pPr>
            <w:r>
              <w:rPr>
                <w:rFonts w:ascii="Arial" w:cs="Arial" w:eastAsia="Arial" w:hAnsi="Arial"/>
                <w:color w:val="1A1A2A"/>
                <w:sz w:val="22"/>
                <w:szCs w:val="22"/>
              </w:rPr>
              <w:t xml:space="preserve">Hebrew/Arabic NLP pipeline for Deck Forge: ₪600K</w:t>
            </w:r>
          </w:p>
          <w:p>
            <w:pPr>
              <w:pStyle w:val="ListParagraph"/>
              <w:numPr>
                <w:ilvl w:val="0"/>
                <w:numId w:val="2"/>
              </w:numPr>
              <w:spacing w:after="40" w:before="40"/>
            </w:pPr>
            <w:r>
              <w:rPr>
                <w:rFonts w:ascii="Arial" w:cs="Arial" w:eastAsia="Arial" w:hAnsi="Arial"/>
                <w:color w:val="1A1A2A"/>
                <w:sz w:val="22"/>
                <w:szCs w:val="22"/>
              </w:rPr>
              <w:t xml:space="preserve">IRT calibration for Israeli exam standards (PET, USMLE, bar): ₪400K</w:t>
            </w:r>
          </w:p>
        </w:tc>
      </w:tr>
    </w:tbl>
    <w:p>
      <w:r>
        <w:br w:type="page"/>
      </w:r>
    </w:p>
    <w:p>
      <w:pPr>
        <w:pStyle w:val="Heading1"/>
        <w:pBdr>
          <w:bottom w:val="single" w:color="0038B8" w:sz="8" w:space="4"/>
        </w:pBdr>
        <w:spacing w:after="120" w:before="360"/>
      </w:pPr>
      <w:r>
        <w:rPr>
          <w:rFonts w:ascii="Arial" w:cs="Arial" w:eastAsia="Arial" w:hAnsi="Arial"/>
          <w:b/>
          <w:bCs/>
          <w:color w:val="0D1B2A"/>
          <w:sz w:val="32"/>
          <w:szCs w:val="32"/>
        </w:rPr>
        <w:t xml:space="preserve">10.  Product and Business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240"/>
        <w:gridCol w:w="3240"/>
      </w:tblGrid>
      <w:tr>
        <w:tc>
          <w:tcPr>
            <w:tcW w:type="dxa" w:w="14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180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32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Product Milestones</w:t>
            </w:r>
          </w:p>
        </w:tc>
        <w:tc>
          <w:tcPr>
            <w:tcW w:type="dxa" w:w="324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Business Milestones</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Now (v2.0.0)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Complete</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Five AI providers live · Hebrew/Arabic Deck Forge · IDF-grade architecture · 95/95 tests</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Investor portal live at https://prcm-asrl-pitch.netlify.app/prcm_investor_portal.html</w:t>
            </w:r>
          </w:p>
        </w:tc>
      </w:tr>
      <w:tr>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Phase 1</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Q3 2026 (Months 1–3)</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Hebrew/Arabic LMS integration · IDF security audit · PET prep mode · iOS/Android wrapper</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IIA grant application · IDF pilot unit (50 seats) · 1 university dept pilot</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Phase 2</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Q4 2026 (Months 4–6)</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Cloud sync · Multi-student server deploy · Hebrew white-label option · Bagrut exam module</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Israeli Privacy Law cert · BIRD Foundation partner ID · 2nd IDF unit · Technion agreement</w:t>
            </w:r>
          </w:p>
        </w:tc>
      </w:tr>
      <w:tr>
        <w:tc>
          <w:tcPr>
            <w:tcW w:type="dxa" w:w="14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Phase 3</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2027 Q1 (Months 7–9)</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LMS integrations (Israeli + global) · credential export · research API</w:t>
            </w:r>
          </w:p>
        </w:tc>
        <w:tc>
          <w:tcPr>
            <w:tcW w:type="dxa" w:w="32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Series A raise · US market entry · BIRD application · IDF Education Corps contract</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Phase 4</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2027+ (Global)</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International product · EU/US localization · MENA Arabic expansion</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US Series A deployed · EU partnerships · exit positioning</w:t>
            </w:r>
          </w:p>
        </w:tc>
      </w:tr>
    </w:tbl>
    <w:p>
      <w:pPr>
        <w:spacing w:after="80" w:before="0"/>
      </w:pPr>
      <w:r>
        <w:t xml:space="preserve"/>
      </w:r>
    </w:p>
    <w:p>
      <w:pPr>
        <w:pStyle w:val="Heading1"/>
        <w:pBdr>
          <w:bottom w:val="single" w:color="0038B8" w:sz="8" w:space="4"/>
        </w:pBdr>
        <w:spacing w:after="120" w:before="360"/>
      </w:pPr>
      <w:r>
        <w:rPr>
          <w:rFonts w:ascii="Arial" w:cs="Arial" w:eastAsia="Arial" w:hAnsi="Arial"/>
          <w:b/>
          <w:bCs/>
          <w:color w:val="0D1B2A"/>
          <w:sz w:val="32"/>
          <w:szCs w:val="32"/>
        </w:rPr>
        <w:t xml:space="preserve">11.  Exit Strategy — אסטרטגיית יציאה</w:t>
      </w:r>
    </w:p>
    <w:p>
      <w:pPr>
        <w:pStyle w:val="Heading2"/>
        <w:spacing w:after="80" w:before="260"/>
      </w:pPr>
      <w:r>
        <w:rPr>
          <w:rFonts w:ascii="Arial" w:cs="Arial" w:eastAsia="Arial" w:hAnsi="Arial"/>
          <w:b/>
          <w:bCs/>
          <w:color w:val="0038B8"/>
          <w:sz w:val="26"/>
          <w:szCs w:val="26"/>
        </w:rPr>
        <w:t xml:space="preserve">11a.  Israeli Strategic Acquirers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c>
          <w:tcPr>
            <w:tcW w:type="dxa" w:w="252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Potential Acquirer</w:t>
            </w:r>
          </w:p>
        </w:tc>
        <w:tc>
          <w:tcPr>
            <w:tcW w:type="dxa" w:w="432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Strategic Rationale</w:t>
            </w:r>
          </w:p>
        </w:tc>
        <w:tc>
          <w:tcPr>
            <w:tcW w:type="dxa" w:w="2520"/>
            <w:tcBorders>
              <w:top w:val="single" w:color="0038B8" w:sz="1"/>
              <w:left w:val="single" w:color="0038B8" w:sz="1"/>
              <w:bottom w:val="single" w:color="0038B8" w:sz="1"/>
              <w:right w:val="single" w:color="0038B8"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Precedent</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Kaltura (Israeli EdTech)</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Video-based learning platform — lacks adaptive learning science and AI coaching</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Kaltura raised $524M to build EdTech infrastructure</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Allot / NICE Systems</w:t>
            </w:r>
          </w:p>
        </w:tc>
        <w:tc>
          <w:tcPr>
            <w:tcW w:type="dxa" w:w="43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Israeli enterprise software companies seeking EdTech capabilities</w:t>
            </w:r>
          </w:p>
        </w:tc>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NICE acquired TechSee 2023</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Rafael / Elbit Systems</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Defense training requirements — IDF-grade adaptive testing platform</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Israeli defense cos actively building internal training tech</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Maccabi Healthcare</w:t>
            </w:r>
          </w:p>
        </w:tc>
        <w:tc>
          <w:tcPr>
            <w:tcW w:type="dxa" w:w="43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Israel’s largest HMO building digital health education infrastructure</w:t>
            </w:r>
          </w:p>
        </w:tc>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Maccabi invested $200M+ in DigitalHealth</w:t>
            </w:r>
          </w:p>
        </w:tc>
      </w:tr>
    </w:tbl>
    <w:p>
      <w:pPr>
        <w:spacing w:after="80" w:before="0"/>
      </w:pPr>
      <w:r>
        <w:t xml:space="preserve"/>
      </w:r>
    </w:p>
    <w:p>
      <w:pPr>
        <w:pStyle w:val="Heading2"/>
        <w:spacing w:after="80" w:before="260"/>
      </w:pPr>
      <w:r>
        <w:rPr>
          <w:rFonts w:ascii="Arial" w:cs="Arial" w:eastAsia="Arial" w:hAnsi="Arial"/>
          <w:b/>
          <w:bCs/>
          <w:color w:val="0038B8"/>
          <w:sz w:val="26"/>
          <w:szCs w:val="26"/>
        </w:rPr>
        <w:t xml:space="preserve">11b.  Global Strategic Acquirers</w:t>
      </w:r>
    </w:p>
    <w:p>
      <w:pPr>
        <w:pStyle w:val="ListParagraph"/>
        <w:numPr>
          <w:ilvl w:val="0"/>
          <w:numId w:val="2"/>
        </w:numPr>
        <w:spacing w:after="40" w:before="40"/>
      </w:pPr>
      <w:r>
        <w:rPr>
          <w:rFonts w:ascii="Arial" w:cs="Arial" w:eastAsia="Arial" w:hAnsi="Arial"/>
          <w:color w:val="1A1A2A"/>
          <w:sz w:val="22"/>
          <w:szCs w:val="22"/>
        </w:rPr>
        <w:t xml:space="preserve">Pearson (UK/US): Largest educational publisher — needs adaptive AI and Israeli market access</w:t>
      </w:r>
    </w:p>
    <w:p>
      <w:pPr>
        <w:pStyle w:val="ListParagraph"/>
        <w:numPr>
          <w:ilvl w:val="0"/>
          <w:numId w:val="2"/>
        </w:numPr>
        <w:spacing w:after="40" w:before="40"/>
      </w:pPr>
      <w:r>
        <w:rPr>
          <w:rFonts w:ascii="Arial" w:cs="Arial" w:eastAsia="Arial" w:hAnsi="Arial"/>
          <w:color w:val="1A1A2A"/>
          <w:sz w:val="22"/>
          <w:szCs w:val="22"/>
        </w:rPr>
        <w:t xml:space="preserve">SAP SuccessFactors: Enterprise HR learning platform — seeks Israeli deep-tech acquisition</w:t>
      </w:r>
    </w:p>
    <w:p>
      <w:pPr>
        <w:pStyle w:val="ListParagraph"/>
        <w:numPr>
          <w:ilvl w:val="0"/>
          <w:numId w:val="2"/>
        </w:numPr>
        <w:spacing w:after="40" w:before="40"/>
      </w:pPr>
      <w:r>
        <w:rPr>
          <w:rFonts w:ascii="Arial" w:cs="Arial" w:eastAsia="Arial" w:hAnsi="Arial"/>
          <w:color w:val="1A1A2A"/>
          <w:sz w:val="22"/>
          <w:szCs w:val="22"/>
        </w:rPr>
        <w:t xml:space="preserve">Microsoft (via LinkedIn Learning): Largest professional learning platform — lacks adaptive scheduling science</w:t>
      </w:r>
    </w:p>
    <w:p>
      <w:pPr>
        <w:pStyle w:val="ListParagraph"/>
        <w:numPr>
          <w:ilvl w:val="0"/>
          <w:numId w:val="2"/>
        </w:numPr>
        <w:spacing w:after="40" w:before="40"/>
      </w:pPr>
      <w:r>
        <w:rPr>
          <w:rFonts w:ascii="Arial" w:cs="Arial" w:eastAsia="Arial" w:hAnsi="Arial"/>
          <w:color w:val="1A1A2A"/>
          <w:sz w:val="22"/>
          <w:szCs w:val="22"/>
        </w:rPr>
        <w:t xml:space="preserve">Chegg: Study platform with 7M subscribers — lacks HIPAA compliance and Israeli market presence</w:t>
      </w:r>
    </w:p>
    <w:p>
      <w:pPr>
        <w:pStyle w:val="ListParagraph"/>
        <w:numPr>
          <w:ilvl w:val="0"/>
          <w:numId w:val="2"/>
        </w:numPr>
        <w:spacing w:after="40" w:before="40"/>
      </w:pPr>
      <w:r>
        <w:rPr>
          <w:rFonts w:ascii="Arial" w:cs="Arial" w:eastAsia="Arial" w:hAnsi="Arial"/>
          <w:color w:val="1A1A2A"/>
          <w:sz w:val="22"/>
          <w:szCs w:val="22"/>
        </w:rPr>
        <w:t xml:space="preserve">Duolingo: Consumer language platform seeking institutional and B2B expansion — Israeli office established</w:t>
      </w:r>
    </w:p>
    <w:p>
      <w:pPr>
        <w:spacing w:after="80" w:before="0"/>
      </w:pPr>
      <w:r>
        <w:t xml:space="preserve"/>
      </w:r>
    </w:p>
    <w:p>
      <w:pPr>
        <w:pStyle w:val="Heading2"/>
        <w:spacing w:after="80" w:before="260"/>
      </w:pPr>
      <w:r>
        <w:rPr>
          <w:rFonts w:ascii="Arial" w:cs="Arial" w:eastAsia="Arial" w:hAnsi="Arial"/>
          <w:b/>
          <w:bCs/>
          <w:color w:val="0038B8"/>
          <w:sz w:val="26"/>
          <w:szCs w:val="26"/>
        </w:rPr>
        <w:t xml:space="preserve">11c.  IPO Pathway</w:t>
      </w:r>
    </w:p>
    <w:p>
      <w:pPr>
        <w:spacing w:after="120" w:before="60"/>
      </w:pPr>
      <w:r>
        <w:rPr>
          <w:rFonts w:ascii="Arial" w:cs="Arial" w:eastAsia="Arial" w:hAnsi="Arial"/>
          <w:color w:val="1A1A2A"/>
          <w:sz w:val="22"/>
          <w:szCs w:val="22"/>
        </w:rPr>
        <w:t xml:space="preserve">At $15M+ ARR with Israeli institutional customers (IDF, universities), US healthcare reference clients, and 3+ years of research-validated growth metrics, PRCM would be positioned for TASE (Tel Aviv Stock Exchange) listing or NASDAQ uplisting. Israeli EdTech companies with defensible IP and global reach have demonstrated strong public market appetite: WalkMe (NASDAQ, $2.3B), monday.com (NASDAQ, $7B+ market cap).</w:t>
      </w:r>
    </w:p>
    <w:p>
      <w:pPr>
        <w:spacing w:after="80" w:before="0"/>
      </w:pPr>
      <w:r>
        <w:t xml:space="preserve"/>
      </w:r>
    </w:p>
    <w:p>
      <w:pPr>
        <w:pBdr>
          <w:top w:val="single" w:color="E2E8F0" w:sz="4" w:space="4"/>
        </w:pBdr>
        <w:spacing w:after="120" w:before="200"/>
      </w:pPr>
      <w:r>
        <w:rPr>
          <w:rFonts w:ascii="Arial" w:cs="Arial" w:eastAsia="Arial" w:hAnsi="Arial"/>
          <w:color w:val="64748B"/>
          <w:sz w:val="18"/>
          <w:szCs w:val="18"/>
        </w:rPr>
        <w:t xml:space="preserve">Full financial model, IIA grant application framework, Hebrew/Arabic product documentation, and IDF pilot proposal available on request. Contact: info@diatasso.net  ·  Investor portal: https://prcm-asrl-pitch.netlify.app/prcm_investor_portal.html  ·  Book: https://calendly.com/diatasso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spacing w:before="80"/>
      <w:jc w:val="center"/>
    </w:pPr>
    <w:r>
      <w:rPr>
        <w:rFonts w:ascii="Arial" w:cs="Arial" w:eastAsia="Arial" w:hAnsi="Arial"/>
        <w:color w:val="64748B"/>
        <w:sz w:val="16"/>
        <w:szCs w:val="16"/>
      </w:rPr>
      <w:t xml:space="preserve">Confidential — PRCM | ASRL Israeli Business Plan  |  info@diatasso.net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13"/>
      <w:gridCol w:w="3913"/>
    </w:tblGrid>
    <w:tr>
      <w:tc>
        <w:tcPr>
          <w:tcW w:type="dxa" w:w="5113"/>
          <w:tcBorders>
            <w:top w:val="none"/>
            <w:left w:val="none"/>
            <w:bottom w:val="none"/>
            <w:right w:val="none"/>
          </w:tcBorders>
          <w:tcMar>
            <w:top w:type="dxa" w:w="0"/>
            <w:left w:type="dxa" w:w="0"/>
            <w:bottom w:type="dxa" w:w="80"/>
            <w:right w:type="dxa" w:w="0"/>
          </w:tcMar>
        </w:tcPr>
        <w:p>
          <w:r>
            <w:rPr>
              <w:rFonts w:ascii="Arial" w:cs="Arial" w:eastAsia="Arial" w:hAnsi="Arial"/>
              <w:b/>
              <w:bCs/>
              <w:color w:val="0038B8"/>
              <w:sz w:val="20"/>
              <w:szCs w:val="20"/>
            </w:rPr>
            <w:t xml:space="preserve">PRCM | ASRL</w:t>
          </w:r>
          <w:r>
            <w:rPr>
              <w:rFonts w:ascii="Arial" w:cs="Arial" w:eastAsia="Arial" w:hAnsi="Arial"/>
              <w:color w:val="64748B"/>
              <w:sz w:val="18"/>
              <w:szCs w:val="18"/>
            </w:rPr>
            <w:t xml:space="preserve">  ·  Israeli Market Business Plan</w:t>
          </w:r>
        </w:p>
      </w:tc>
      <w:tc>
        <w:tcPr>
          <w:tcW w:type="dxa" w:w="3913"/>
          <w:tcBorders>
            <w:top w:val="none"/>
            <w:left w:val="none"/>
            <w:bottom w:val="none"/>
            <w:right w:val="none"/>
          </w:tcBorders>
          <w:tcMar>
            <w:top w:type="dxa" w:w="0"/>
            <w:left w:type="dxa" w:w="0"/>
            <w:bottom w:type="dxa" w:w="80"/>
            <w:right w:type="dxa" w:w="0"/>
          </w:tcMar>
        </w:tcPr>
        <w:p>
          <w:pPr>
            <w:jc w:val="right"/>
          </w:pPr>
          <w:r>
            <w:rPr>
              <w:rFonts w:ascii="Arial" w:cs="Arial" w:eastAsia="Arial" w:hAnsi="Arial"/>
              <w:color w:val="64748B"/>
              <w:sz w:val="18"/>
              <w:szCs w:val="18"/>
            </w:rPr>
            <w:t xml:space="preserve">Diatasso PRCM™  |  Confidential  |  2026</w:t>
          </w:r>
        </w:p>
      </w:tc>
    </w:tr>
  </w:tbl>
  <w:p>
    <w:pPr>
      <w:pBdr>
        <w:bottom w:val="single" w:color="0038B8" w:sz="6"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60"/>
      <w:outlineLvl w:val="1"/>
    </w:pPr>
    <w:rPr>
      <w:rFonts w:ascii="Arial" w:cs="Arial" w:eastAsia="Arial" w:hAnsi="Arial"/>
      <w:b/>
      <w:bCs/>
      <w:color w:val="0038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2026-05-26T17:12:04.959Z</dcterms:created>
  <dcterms:modified xsi:type="dcterms:W3CDTF">2026-05-26T17:12:04.959Z</dcterms:modified>
</cp:coreProperties>
</file>

<file path=docProps/custom.xml><?xml version="1.0" encoding="utf-8"?>
<Properties xmlns="http://schemas.openxmlformats.org/officeDocument/2006/custom-properties" xmlns:vt="http://schemas.openxmlformats.org/officeDocument/2006/docPropsVTypes"/>
</file>