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commentRangeStart w:id="0"/>
      <w:r>
        <w:rPr>
          <w:color w:val="C0392B"/>
        </w:rPr>
        <w:t xml:space="preserve">màu đỏ</w:t>
      </w:r>
      <w:commentRangeEnd w:id="0"/>
      <w:r>
        <w:commentReference w:id="0"/>
      </w:r>
      <w:r>
        <w:t xml:space="preserve">, </w:t>
      </w:r>
      <w:r>
        <w:rPr>
          <w:color w:val="1F6FEB"/>
        </w:rPr>
        <w:t xml:space="preserve">màu xanh</w:t>
      </w:r>
      <w:r>
        <w:t xml:space="preserve">, </w:t>
      </w:r>
      <w:r>
        <w:rPr>
          <w:u w:val="single"/>
        </w:rPr>
        <w:t xml:space="preserve">gạch chân</w:t>
      </w:r>
      <w:r>
        <w:t xml:space="preserve">, </w:t>
      </w:r>
      <w:r>
        <w:rPr>
          <w:strike/>
        </w:rPr>
        <w:t xml:space="preserve">gạch ngang</w:t>
      </w:r>
      <w:r>
        <w:t xml:space="preserve">, </w:t>
      </w:r>
      <w:r>
        <w:rPr>
          <w:highlight w:val="yellow"/>
        </w:rPr>
        <w:t xml:space="preserve">tô vàng</w:t>
      </w:r>
      <w:r>
        <w:t xml:space="preserve">, công thức E=mc</w:t>
      </w:r>
      <w:r>
        <w:rPr>
          <w:vertAlign w:val="superscript"/>
        </w:rPr>
        <w:t xml:space="preserve">2</w:t>
      </w:r>
      <w:r>
        <w:t xml:space="preserve"> và H</w:t>
      </w:r>
      <w:r>
        <w:rPr>
          <w:vertAlign w:val="subscript"/>
        </w:rPr>
        <w:t xml:space="preserve">2</w:t>
      </w:r>
      <w:r>
        <w:t xml:space="preserve">O (super/subscript), </w:t>
      </w:r>
      <w:r>
        <w:rPr>
          <w:sz w:val="28"/>
        </w:rPr>
        <w:t xml:space="preserve">chữ to 14pt</w:t>
      </w:r>
      <w:r>
        <w:t xml:space="preserve"> và </w:t>
      </w:r>
      <w:r>
        <w:rPr>
          <w:sz w:val="16"/>
        </w:rPr>
        <w:t xml:space="preserve">chữ nhỏ 8pt</w:t>
      </w:r>
      <w:r>
        <w:t xml:space="preserve"> trong cùng một dòng để kiểm tra đo chữ theo từng run</w:t>
      </w:r>
      <w:r>
        <w:footnoteReference w:id="1"/>
      </w:r>
      <w:r>
        <w:t xml:space="preserve">.</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căn giữa, gộp ô, nền &amp; viền ô</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Pr>
        <w:jc w:val="center"/>
        <w:tblBorders>
          <w:top w:val="single"/>
          <w:bottom w:val="single"/>
          <w:left w:val="single"/>
          <w:right w:val="single"/>
          <w:insideH w:val="single"/>
          <w:insideV w:val="single"/>
        </w:tblBorders>
      </w:tblPr>
      <w:tblGrid>
        <w:gridCol w:w="2400"/>
        <w:gridCol w:w="2800"/>
        <w:gridCol w:w="2800"/>
      </w:tblGrid>
      <w:tr>
        <w:trPr>
          <w:trHeight w:val="600" w:hRule="atLeast"/>
        </w:trPr>
        <w:tc>
          <w:tcPr>
            <w:shd w:fill="D9E2F3"/>
            <w:vAlign w:val="center"/>
          </w:tcPr>
          <w:p>
            <w:r>
              <w:rPr>
                <w:b/>
              </w:rPr>
              <w:t xml:space="preserve">Khu vực</w:t>
            </w:r>
          </w:p>
        </w:tc>
        <w:tc>
          <w:tcPr>
            <w:shd w:fill="D9E2F3"/>
            <w:vAlign w:val="center"/>
          </w:tcPr>
          <w:p>
            <w:r>
              <w:rPr>
                <w:b/>
              </w:rPr>
              <w:t xml:space="preserve">Quý 1</w:t>
            </w:r>
          </w:p>
        </w:tc>
        <w:tc>
          <w:tcPr>
            <w:shd w:fill="D9E2F3"/>
            <w:vAlign w:val="center"/>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r>
              <w:footnoteReference w:id="3"/>
            </w:r>
          </w:p>
        </w:tc>
      </w:tr>
      <w:tr>
        <w:tc>
          <w:tcPr>
            <w:vMerge/>
          </w:tcPr>
          <w:p/>
        </w:tc>
        <w:tc>
          <w:tcPr>
            <w:tcBorders>
              <w:top w:val="nil"/>
              <w:bottom w:val="nil"/>
            </w:tcBorders>
          </w:tcPr>
          <w:p>
            <w:r>
              <w:t xml:space="preserve">95</w:t>
            </w:r>
          </w:p>
        </w:tc>
        <w:tc>
          <w:tcPr/>
          <w:p>
            <w:r>
              <w:t xml:space="preserve">102</w:t>
            </w:r>
          </w:p>
        </w:tc>
      </w:tr>
      <w:tr>
        <w:tc>
          <w:tcPr>
            <w:gridSpan w:val="3"/>
            <w:vAlign w:val="bottom"/>
          </w:tcPr>
          <w:p>
            <w:r>
              <w:rPr>
                <w:i/>
              </w:rPr>
              <w:t xml:space="preserve">Tổng hợp cả nước — ô gộp ngang ba cột, canh dưới</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pStyle w:val="Quote"/>
      </w:pPr>
      <w:r>
        <w:t xml:space="preserve">Đoạn này dùng style "Quote": thụt lề hai bên và chữ nghiêng đến từ STYLE (cascade pPr qua w:basedOn), không khai inline — đúng cách văn bản công sở dùng Heading/Quote/ListParagraph.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Ảnh floating — chữ chảy quanh ảnh</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r>
        <w:drawing>
          <wp:anchor distT="0" distB="0" distL="114300" distR="114300">
            <wp:positionH relativeFrom="margin">
              <wp:align>right</wp:align>
            </wp:positionH>
            <wp:positionV relativeFrom="paragraph">
              <wp:posOffset>0</wp:posOffset>
            </wp:positionV>
            <wp:extent cx="1333500" cy="1333500"/>
            <wp:docPr id="2" name="Float 1" descr="blue float"/>
            <wp:wrapSquare wrapText="bothSides"/>
            <a:graphic>
              <a:graphicData>
                <pic:pic>
                  <pic:blipFill>
                    <a:blip r:embed="rId8"/>
                  </pic:blipFill>
                </pic:pic>
              </a:graphicData>
            </a:graphic>
          </wp:anchor>
        </w:drawing>
      </w:r>
      <w:r>
        <w:t xml:space="preserve">Ảnh xanh 140px neo bên phải với wrapSquare: dòng nào nằm ngang ảnh sẽ thu hẹp lại, chữ chảy dọc theo mép trái của ảnh. </w:t>
      </w:r>
      <w:r>
        <w:t xml:space="preserve">Lorem ipsum dolor sit amet, consectetur adipiscing elit, sed do eiusmod tempor incididunt ut labore et dolore magna aliqua. Ut enim ad minim veniam, quis nostrud exercitation ullamco laboris nisi ut aliquip ex ea commodo consequat.</w:t>
      </w:r>
      <w:r>
        <w:t xml:space="preserve"> Việt Nam đất nước ta ơi, mênh mông biển lúa đâu trời đẹp hơn. Cánh cò bay lả rập rờn, mây mờ che đỉnh Trường Sơn sớm chiều. Quê hương biết mấy thân yêu, bao nhiêu đời đã chịu nhiều thương đau.</w:t>
      </w:r>
    </w:p>
    <w:p>
      <w:r>
        <w:t xml:space="preserve">Đoạn kế tiếp không có ảnh nhưng vẫn né rect của ảnh nếu ảnh còn thò xuống — exclusion sống theo trang, không theo đoạn. Gõ tiếng Việt có dấu là bài kiểm tra quan trọng nhất của bapbong: chữ ư, ơ, ă, â, ê, ô cùng các thanh sắc huyền hỏi ngã nặng phải hiển thị đúng trên canvas ở mọi cỡ chữ và kiểu chữ.</w:t>
      </w:r>
    </w:p>
    <w:p>
      <w:r>
        <w:drawing>
          <wp:anchor distT="57150" distB="57150">
            <wp:positionH relativeFrom="margin">
              <wp:align>center</wp:align>
            </wp:positionH>
            <wp:positionV relativeFrom="paragraph">
              <wp:posOffset>190500</wp:posOffset>
            </wp:positionV>
            <wp:extent cx="952500" cy="476250"/>
            <wp:docPr id="3" name="Float 2" descr="red band"/>
            <wp:wrapTopAndBottom/>
            <a:graphic>
              <a:graphicData>
                <pic:pic>
                  <pic:blipFill>
                    <a:blip r:embed="rId7"/>
                  </pic:blipFill>
                </pic:pic>
              </a:graphicData>
            </a:graphic>
          </wp:anchor>
        </w:drawing>
      </w:r>
      <w:r>
        <w:t xml:space="preserve">Còn ảnh đỏ dưới đây dùng wrapTopAndBottom: không dòng nào đứng cạnh ảnh — văn bản nhảy hẳn xuống dưới. Duis aute irure dolor in reprehenderit in voluptate velit esse cillum dolore eu fugiat nulla pariatur. Excepteur sint occaecat cupidatat non proident, sunt in culpa qui officia deserunt mollit anim id est laborum.</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Tab stops tùy biến (w:tabs)</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tabs>
          <w:tab w:val="right" w:pos="9000" w:leader="dot"/>
        </w:tabs>
      </w:pPr>
      <w:r>
        <w:t xml:space="preserve">Chương 1 — Mở đầu</w:t>
      </w:r>
      <w:r>
        <w:tab/>
      </w:r>
      <w:r>
        <w:t xml:space="preserve">3</w:t>
      </w:r>
    </w:p>
    <w:p>
      <w:pPr>
        <w:tabs>
          <w:tab w:val="right" w:pos="9000" w:leader="dot"/>
        </w:tabs>
      </w:pPr>
      <w:r>
        <w:t xml:space="preserve">Chương 2 — Kiến trúc canvas</w:t>
      </w:r>
      <w:r>
        <w:tab/>
      </w:r>
      <w:r>
        <w:t xml:space="preserve">12</w:t>
      </w:r>
    </w:p>
    <w:p>
      <w:pPr>
        <w:tabs>
          <w:tab w:val="right" w:pos="9000" w:leader="dot"/>
        </w:tabs>
      </w:pPr>
      <w:r>
        <w:t xml:space="preserve">Chương 3 — Ngắt trang bảng</w:t>
      </w:r>
      <w:r>
        <w:tab/>
      </w:r>
      <w:r>
        <w:t xml:space="preserve">27</w:t>
      </w:r>
    </w:p>
    <w:p>
      <w:pPr>
        <w:tabs>
          <w:tab w:val="center" w:pos="4560"/>
          <w:tab w:val="right" w:pos="9000"/>
        </w:tabs>
      </w:pPr>
      <w:r>
        <w:rPr>
          <w:b/>
        </w:rPr>
        <w:t xml:space="preserve">NGƯỜI LẬP</w:t>
      </w:r>
      <w:r>
        <w:tab/>
      </w:r>
      <w:r>
        <w:rPr>
          <w:b/>
        </w:rPr>
        <w:t xml:space="preserve">KẾ TOÁN</w:t>
      </w:r>
      <w:r>
        <w:tab/>
      </w:r>
      <w:r>
        <w:rPr>
          <w:b/>
        </w:rPr>
        <w:t xml:space="preserve">GIÁM ĐỐC</w:t>
      </w:r>
    </w:p>
    <w:p>
      <w:pPr>
        <w:tabs>
          <w:tab w:val="decimal" w:pos="6000"/>
        </w:tabs>
      </w:pPr>
      <w:r>
        <w:t xml:space="preserve">Phí khởi tạo</w:t>
      </w:r>
      <w:r>
        <w:tab/>
      </w:r>
      <w:r>
        <w:t xml:space="preserve">1.250 đ</w:t>
      </w:r>
    </w:p>
    <w:p>
      <w:pPr>
        <w:tabs>
          <w:tab w:val="decimal" w:pos="6000"/>
        </w:tabs>
      </w:pPr>
      <w:r>
        <w:t xml:space="preserve">Thuê bao tháng</w:t>
      </w:r>
      <w:r>
        <w:tab/>
      </w:r>
      <w:r>
        <w:t xml:space="preserve">99 đ</w:t>
      </w:r>
    </w:p>
    <w:p>
      <w:pPr>
        <w:tabs>
          <w:tab w:val="decimal" w:pos="6000"/>
        </w:tabs>
      </w:pPr>
      <w:r>
        <w:t xml:space="preserve">Phụ phí vùng xa</w:t>
      </w:r>
      <w:r>
        <w:tab/>
      </w:r>
      <w:r>
        <w:t xml:space="preserve">12.345 đ</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8. Giãn dòng, ngắt dòng mềm &amp; ký hiệu</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spacing w:before="240" w:after="120" w:line="360" w:lineRule="auto"/>
      </w:pPr>
      <w:r>
        <w:t xml:space="preserve">Đoạn này dùng w:spacing — giãn dòng 1.5, cách đoạn trên 12pt và dưới 6pt nên trông thưa hơn hẳn các đoạn quanh nó</w:t>
      </w:r>
      <w:r>
        <w:footnoteReference w:id="2"/>
      </w:r>
      <w:r>
        <w:t xml:space="preserve">. Sed ut perspiciatis unde omnis iste natus error sit voluptatem accusantium doloremque laudantium, totam rem aperiam, eaque ipsa quae ab illo inventore veritatis et quasi architecto beatae vitae dicta sunt explicabo.</w:t>
      </w:r>
    </w:p>
    <w:p>
      <w:r>
        <w:t xml:space="preserve">Dòng đầu của đoạn này</w:t>
      </w:r>
      <w:r>
        <w:br/>
      </w:r>
      <w:r>
        <w:t xml:space="preserve">được ngắt dòng mềm (w:br) xuống dòng hai mà vẫn nằm trong cùng một paragraph.</w:t>
      </w:r>
    </w:p>
    <w:p>
      <w:r>
        <w:sym w:font="Wingdings" w:char="F0B7"/>
      </w:r>
      <w:r>
        <w:t xml:space="preserve"> Ký hiệu w:sym (Wingdings F0B7 → •) chèn ngay đầu dòng — khác với bullet của danh sách.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pageBreakBefore/>
        <w:jc w:val="left"/>
      </w:pPr>
      <w:r>
        <w:rPr>
          <w:b/>
          <w:sz w:val="28"/>
        </w:rPr>
        <w:t xml:space="preserve">9. Phần đệm — bắt đầu trang mới (w:pageBreakBefore)</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10.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11.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12. Hàng cao hơn một trang</w:t>
      </w:r>
    </w:p>
    <w:p>
      <w:r>
        <w:t xml:space="preserve">Hàng thứ nhất của bảng sau chứa 60 đoạn — cao hơn cả một trang, buộc phải tách giữa hàng.</w:t>
      </w:r>
    </w:p>
    <w:tbl>
      <w:tblPr>
        <w:tblBorders>
          <w:top w:val="single"/>
          <w:bottom w:val="single"/>
          <w:left w:val="single"/>
          <w:right w:val="single"/>
          <w:insideH w:val="single"/>
          <w:insideV w:val="single"/>
        </w:tblBorders>
      </w:tblPr>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left"/>
      </w:pPr>
      <w:r>
        <w:rPr>
          <w:b/>
          <w:sz w:val="28"/>
        </w:rPr>
        <w:t xml:space="preserve">13. Bố cục nhiều cột (w:cols)</w:t>
      </w:r>
    </w:p>
    <w:p>
      <w:pPr>
        <w:jc w:val="both"/>
        <w:sectPr>
          <w:type w:val="continuous"/>
          <w:cols w:num="1"/>
        </w:sectPr>
      </w:pPr>
      <w:r>
        <w:t xml:space="preserve">Đoạn giới thiệu trình bày một cột. </w:t>
      </w:r>
      <w:commentRangeStart w:id="1"/>
      <w:r>
        <w:t xml:space="preserve">Phần thân ngay bên dưới chuyển sang HAI cột bằng một section break liên tục</w:t>
      </w:r>
      <w:commentRangeEnd w:id="1"/>
      <w:r>
        <w:commentReference w:id="1"/>
      </w:r>
      <w:r>
        <w:t xml:space="preserve"> (w:type=continuous): văn bản rót đầy cột trái rồi mới sang cột phải, đúng kiểu bản tin / tạp chí.</w:t>
      </w:r>
    </w:p>
    <w:p>
      <w:pPr>
        <w:jc w:val="both"/>
      </w:pPr>
      <w:r>
        <w:t xml:space="preserve">(1) 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(2) Duis aute irure dolor in reprehenderit in voluptate velit esse cillum dolore eu fugiat nulla pariatur. Excepteur sint occaecat cupidatat non proident, sunt in culpa qui officia deserunt mollit anim id est laborum.</w:t>
      </w:r>
    </w:p>
    <w:p>
      <w:pPr>
        <w:jc w:val="both"/>
      </w:pPr>
      <w:r>
        <w:t xml:space="preserve">(3) Sed ut perspiciatis unde omnis iste natus error sit voluptatem accusantium doloremque laudantium, totam rem aperiam, eaque ipsa quae ab illo inventore veritatis et quasi architecto beatae vitae dicta sunt explicabo.</w:t>
      </w:r>
    </w:p>
    <w:p>
      <w:pPr>
        <w:jc w:val="both"/>
      </w:pPr>
      <w:r>
        <w:t xml:space="preserve">(4) Nemo enim ipsam voluptatem quia voluptas sit aspernatur aut odit aut fugit, sed quia consequuntur magni dolores eos qui ratione voluptatem sequi nesciunt, neque porro quisquam est qui dolorem ipsum.</w:t>
      </w:r>
    </w:p>
    <w:p>
      <w:pPr>
        <w:jc w:val="both"/>
      </w:pPr>
      <w:r>
        <w:t xml:space="preserve">(5) 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(6) 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(7) Lorem ipsum dolor sit amet, consectetur adipiscing elit, sed do eiusmod tempor incididunt ut labore et dolore magna aliqua. Ut enim ad minim veniam, quis nostrud exercitation ullamco laboris nisi ut aliquip ex ea commodo consequat.</w:t>
      </w:r>
    </w:p>
    <w:p>
      <w:pPr>
        <w:jc w:val="both"/>
        <w:sectPr>
          <w:type w:val="continuous"/>
          <w:cols w:num="2" w:space="425"/>
        </w:sectPr>
      </w:pPr>
      <w:r>
        <w:t xml:space="preserve">(8) Nemo enim ipsam voluptatem quia voluptas sit aspernatur aut odit aut fugit, sed quia consequuntur magni dolores eos qui ratione voluptatem sequi nesciunt, neque porro quisquam est qui dolorem ipsum. 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Trở lại bố cục một cột sau section break thứ hai — phần kết của tài liệu chiếm trọn bề ngang trang trở lại.</w:t>
      </w:r>
    </w:p>
    <w:p>
      <w:pPr>
        <w:jc w:val="center"/>
      </w:pPr>
      <w:r>
        <w:rPr>
          <w:i/>
        </w:rPr>
        <w:t xml:space="preserve">— Hết tài liệu mẫu —</w:t>
      </w:r>
    </w:p>
    <w:sectPr>
      <w:headerReference w:type="default" r:id="rId20"/>
      <w:footerReference w:type="default" r:id="rId21"/>
      <w:headerReference w:type="first" r:id="rId23"/>
      <w:headerReference w:type="even" r:id="rId24"/>
      <w:titlePg/>
      <w:type w:val="continuous"/>
      <w:cols w:num="1"/>
    </w:sectPr>
  </w:body>
</w:document>
</file>

<file path=word/comments.xml><?xml version="1.0" encoding="utf-8"?>
<w:comments xmlns:w="http://schemas.openxmlformats.org/wordprocessingml/2006/main">
  <w:comment w:id="0" w:author="Phương Minh" w:date="2026-06-17T09:00:00Z" w:initials="PM">
    <w:p>
      <w:r>
        <w:t>Cụm "màu đỏ" được tô comment — bấm vào đây để chọn vùng tương ứng trên canvas.</w:t>
      </w:r>
    </w:p>
  </w:comment>
  <w:comment w:id="1" w:author="Reviewer" w:date="2026-06-17T10:30:00Z" w:initials="RV">
    <w:p>
      <w:r>
        <w:t>Comment vắt qua nhiều run trong phần bố cục nhiều cột.</w:t>
      </w:r>
    </w:p>
  </w:comment>
</w:comments>
</file>

<file path=word/footer1.xml><?xml version="1.0" encoding="utf-8"?>
<w:ftr xmlns:w="http://schemas.openxmlformats.org/wordprocessingml/2006/main">
  <w:p>
    <w:pPr>
      <w:jc w:val="center"/>
    </w:pPr>
    <w:r>
      <w:rPr>
        <w:i/>
        <w:color w:val="6B6B70"/>
      </w:rPr>
      <w:t xml:space="preserve">Trang </w:t>
    </w:r>
    <w:r>
      <w:fldChar w:fldCharType="begin"/>
    </w:r>
    <w:r>
      <w:instrText xml:space="preserve"> PAGE </w:instrText>
    </w:r>
    <w:r>
      <w:fldChar w:fldCharType="separate"/>
    </w:r>
    <w:r>
      <w:rPr>
        <w:i/>
        <w:color w:val="6B6B70"/>
      </w:rPr>
      <w:t>1</w:t>
    </w:r>
    <w:r>
      <w:fldChar w:fldCharType="end"/>
    </w:r>
    <w:r>
      <w:rPr>
        <w:i/>
        <w:color w:val="6B6B70"/>
      </w:rPr>
      <w:t xml:space="preserve"> / </w:t>
    </w:r>
    <w:fldSimple w:instr=" NUMPAGES ">
      <w:r>
        <w:rPr>
          <w:i/>
          <w:color w:val="6B6B70"/>
        </w:rPr>
        <w:t>7</w:t>
      </w:r>
    </w:fldSimple>
    <w:r>
      <w:rPr>
        <w:i/>
        <w:color w:val="6B6B70"/>
      </w:rPr>
      <w:t xml:space="preserve"> — bapbong playground</w:t>
    </w:r>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r>
        <w:t xml:space="preserve">Chú thích chân trang đầu tiên — bản thân ghi chú được layout ở đáy của chính trang chứa tham chiếu, với cỡ chữ nhỏ hơn phần thân.</w:t>
      </w:r>
    </w:p>
  </w:footnote>
  <w:footnote w:id="2">
    <w:p>
      <w:r>
        <w:t xml:space="preserve">Chú thích thứ hai nằm ở một trang khác, chứng minh mỗi trang tự gom ghi chú riêng phía trên footer.</w:t>
      </w:r>
    </w:p>
  </w:footnote>
  <w:footnote w:id="3">
    <w:p>
      <w:r>
        <w:t xml:space="preserve">Chú thích này được tham chiếu từ bên trong một ô bảng — vẫn được gom xuống đáy trang chứa bảng.</w:t>
      </w:r>
    </w:p>
  </w:footnote>
</w:footnotes>
</file>

<file path=word/header1.xml><?xml version="1.0" encoding="utf-8"?>
<w:hdr xmlns:w="http://schemas.openxmlformats.org/wordprocessingml/2006/main">
  <w:p>
    <w:pPr>
      <w:jc w:val="right"/>
    </w:pPr>
    <w:r>
      <w:rPr>
        <w:i/>
        <w:color w:val="6B6B70"/>
      </w:rPr>
      <w:t xml:space="preserve">bapbong sample — trang lẻ</w:t>
    </w:r>
  </w:p>
</w:hdr>
</file>

<file path=word/header2.xml><?xml version="1.0" encoding="utf-8"?>
<w:hdr xmlns:w="http://schemas.openxmlformats.org/wordprocessingml/2006/main">
  <w:p>
    <w:pPr>
      <w:jc w:val="center"/>
    </w:pPr>
    <w:r>
      <w:rPr>
        <w:b/>
        <w:color w:val="1F6FEB"/>
      </w:rPr>
      <w:t xml:space="preserve">« TRANG BÌA — header riêng cho trang đầu »</w:t>
    </w:r>
  </w:p>
</w:hdr>
</file>

<file path=word/header3.xml><?xml version="1.0" encoding="utf-8"?>
<w:hdr xmlns:w="http://schemas.openxmlformats.org/wordprocessingml/2006/main">
  <w:p>
    <w:pPr>
      <w:jc w:val="left"/>
    </w:pPr>
    <w:r>
      <w:rPr>
        <w:i/>
        <w:color w:val="6B6B70"/>
      </w:rPr>
      <w:t xml:space="preserve">trang chẵn — bapbong sample</w:t>
    </w:r>
  </w:p>
</w:hdr>
</file>

<file path=word/numbering.xml><?xml version="1.0" encoding="utf-8"?>
<w:numbering xmlns:w="http://schemas.openxmlformats.org/wordprocessingml/2006/main">
  <w:abstractNum w:abstractNumId="0">
    <w:lvl w:ilvl="0">
      <w:pPr>
        <w:ind w:left="720" w:hanging="360"/>
      </w:pPr>
      <w:numFmt w:val="decimal"/>
      <w:lvlText w:val="%1."/>
      <w:start w:val="1"/>
    </w:lvl>
    <w:lvl w:ilvl="1">
      <w:pPr>
        <w:ind w:left="1440" w:hanging="360"/>
      </w:pPr>
      <w:numFmt w:val="lowerLetter"/>
      <w:lvlText w:val="%1.%2."/>
      <w:start w:val="1"/>
    </w:lvl>
  </w:abstractNum>
  <w:abstractNum w:abstractNumId="1">
    <w:lvl w:ilvl="0">
      <w:pPr>
        <w:ind w:left="720" w:hanging="360"/>
      </w:pPr>
      <w:numFmt w:val="bullet"/>
      <w:lvlText w:val="•"/>
    </w:lvl>
  </w:abstractNum>
  <w:num w:numId="1">
    <w:abstractNumId w:val="0"/>
  </w:num>
  <w:num w:numId="2">
    <w:abstractNumId w:val="1"/>
  </w:num>
</w:numbering>
</file>

<file path=word/settings.xml><?xml version="1.0" encoding="utf-8"?>
<w:settings xmlns:w="http://schemas.openxmlformats.org/wordprocessingml/2006/main">
  <w:evenAndOddHeaders/>
</w:settings>
</file>

<file path=word/styles.xml><?xml version="1.0" encoding="utf-8"?>
<w:styles xmlns:w="http://schemas.openxmlformats.org/wordprocessingml/2006/main">
  <w:style w:styleId="Indented">
    <w:pPr>
      <w:ind w:left="720" w:right="720"/>
    </w:pPr>
  </w:style>
  <w:style w:styleId="Quote">
    <w:basedOn w:val="Indented"/>
    <w:rPr>
      <w:i/>
      <w:color w:val="555555"/>
    </w:rPr>
  </w:style>
</w:styles>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 Id="rId22" Type="http://schemas.openxmlformats.org/officeDocument/2006/relationships/footnotes" Target="footnotes.xml"/>
  <Relationship Id="rId23" Type="http://schemas.openxmlformats.org/officeDocument/2006/relationships/header" Target="header2.xml"/>
  <Relationship Id="rId24" Type="http://schemas.openxmlformats.org/officeDocument/2006/relationships/header" Target="header3.xml"/>
  <Relationship Id="rId25" Type="http://schemas.openxmlformats.org/officeDocument/2006/relationships/settings" Target="settings.xml"/>
  <Relationship Id="rId26" Type="http://schemas.openxmlformats.org/officeDocument/2006/relationships/comments" Target="comments.xml"/>
</Relationships>
</file>