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r>
        <w:footnoteReference w:id="1"/>
      </w:r>
      <w:r>
        <w:t xml:space="preserve">.</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w:t>
      </w:r>
      <w:r>
        <w:footnoteReference w:id="2"/>
      </w:r>
      <w:r>
        <w:t xml:space="preserve">.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r>
        <w:t xml:space="preserve">Chú thích chân trang đầu tiên — bản thân ghi chú được layout ở đáy của chính trang chứa tham chiếu, với cỡ chữ nhỏ hơn phần thân.</w:t>
      </w:r>
    </w:p>
  </w:footnote>
  <w:footnote w:id="2">
    <w:p>
      <w:r>
        <w:t xml:space="preserve">Chú thích thứ hai nằm ở một trang khác, chứng minh mỗi trang tự gom ghi chú riêng phía trên footer.</w:t>
      </w:r>
    </w:p>
  </w:footnote>
</w:footnotes>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 Id="rId22" Type="http://schemas.openxmlformats.org/officeDocument/2006/relationships/footnotes" Target="footnotes.xml"/>
</Relationships>
</file>