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8. Bảng dài trải qua nhiều trang</w:t>
      </w:r>
    </w:p>
    <w:p>
      <w:r>
        <w:t xml:space="preserve">Bảng dưới đây có 36 hàng — dài hơn một trang, buộc layout engine phải ngắt trang theo từng hàng (M5).</w:t>
      </w:r>
    </w:p>
    <w:tbl>
      <w:tblGrid>
        <w:gridCol w:w="2400"/>
        <w:gridCol w:w="6630"/>
      </w:tblGrid>
      <w:tr>
        <w:tc>
          <w:tcPr/>
          <w:p>
            <w:r>
              <w:rPr>
                <w:b/>
              </w:rPr>
              <w:t xml:space="preserve">Hàng</w:t>
            </w:r>
          </w:p>
        </w:tc>
        <w:tc>
          <w:tcPr/>
          <w:p>
            <w:r>
              <w:rPr>
                <w:b/>
              </w:rPr>
              <w:t xml:space="preserve">Mô tả</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9.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body>
</w:document>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s>
</file>