
<file path=[Content_Types].xml><?xml version="1.0" encoding="utf-8"?>
<Types xmlns="http://schemas.openxmlformats.org/package/2006/content-types">
  <Default Extension="xml" ContentType="application/xml"/>
  <Default Extension="png" ContentType="image/png"/>
  <Override PartName="/word/document.xml" ContentType="application/vnd.openxmlformats-officedocument.wordprocessingml.document.main+xml"/>
  <Override PartName="/word/footnotes.xml" ContentType="application/vnd.openxmlformats-officedocument.wordprocessingml.footnotes+xml"/>
  <Override PartName="/word/settings.xml" ContentType="application/vnd.openxmlformats-officedocument.wordprocessingml.settings+xml"/>
  <Override PartName="/word/comments.xml" ContentType="application/vnd.openxmlformats-officedocument.wordprocessingml.comment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rPr>
          <w:b/>
          <w:sz w:val="36"/>
        </w:rPr>
        <w:t xml:space="preserve">bapbong sample document</w:t>
      </w:r>
    </w:p>
    <w:p>
      <w:pPr>
        <w:jc w:val="center"/>
      </w:pPr>
      <w:r>
        <w:rPr>
          <w:i/>
        </w:rPr>
        <w:t xml:space="preserve">Tài liệu mẫu nhiều trang: đậm/nghiêng/màu, danh sách đa cấp, bảng gộp ô, ảnh inline, hyperlink, canh lề và thụt lề.</w:t>
      </w:r>
    </w:p>
    <w:p>
      <w:pPr>
        <w:jc w:val="left"/>
      </w:pPr>
      <w:r>
        <w:rPr>
          <w:b/>
          <w:sz w:val="28"/>
        </w:rPr>
        <w:t xml:space="preserve">1. Chữ đậm, nghiêng, màu và cỡ chữ</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ind w:firstLine="720"/>
      </w:pPr>
      <w:r>
        <w:t xml:space="preserve">Đoạn này trộn </w:t>
      </w:r>
      <w:r>
        <w:rPr>
          <w:b/>
        </w:rPr>
        <w:t xml:space="preserve">đậm</w:t>
      </w:r>
      <w:r>
        <w:t xml:space="preserve">, </w:t>
      </w:r>
      <w:r>
        <w:rPr>
          <w:i/>
        </w:rPr>
        <w:t xml:space="preserve">nghiêng</w:t>
      </w:r>
      <w:r>
        <w:t xml:space="preserve">, </w:t>
      </w:r>
      <w:commentRangeStart w:id="2"/>
      <w:r>
        <w:rPr>
          <w:b/>
          <w:i/>
        </w:rPr>
        <w:t xml:space="preserve">đậm nghiêng</w:t>
      </w:r>
      <w:commentRangeEnd w:id="2"/>
      <w:r>
        <w:commentReference w:id="2"/>
      </w:r>
      <w:r>
        <w:t xml:space="preserve">, </w:t>
      </w:r>
      <w:commentRangeStart w:id="0"/>
      <w:r>
        <w:rPr>
          <w:color w:val="C0392B"/>
        </w:rPr>
        <w:t xml:space="preserve">màu đỏ</w:t>
      </w:r>
      <w:commentRangeEnd w:id="0"/>
      <w:r>
        <w:commentReference w:id="0"/>
      </w:r>
      <w:r>
        <w:t xml:space="preserve">, </w:t>
      </w:r>
      <w:commentRangeStart w:id="3"/>
      <w:r>
        <w:rPr>
          <w:color w:val="1F6FEB"/>
        </w:rPr>
        <w:t xml:space="preserve">màu xanh</w:t>
      </w:r>
      <w:commentRangeEnd w:id="3"/>
      <w:r>
        <w:commentReference w:id="3"/>
      </w:r>
      <w:r>
        <w:t xml:space="preserve">, </w:t>
      </w:r>
      <w:commentRangeStart w:id="4"/>
      <w:r>
        <w:rPr>
          <w:u w:val="single"/>
        </w:rPr>
        <w:t xml:space="preserve">gạch chân</w:t>
      </w:r>
      <w:commentRangeEnd w:id="4"/>
      <w:r>
        <w:commentReference w:id="4"/>
      </w:r>
      <w:r>
        <w:t xml:space="preserve">, </w:t>
      </w:r>
      <w:r>
        <w:rPr>
          <w:strike/>
        </w:rPr>
        <w:t xml:space="preserve">gạch ngang</w:t>
      </w:r>
      <w:r>
        <w:t xml:space="preserve">, </w:t>
      </w:r>
      <w:r>
        <w:rPr>
          <w:highlight w:val="yellow"/>
        </w:rPr>
        <w:t xml:space="preserve">tô vàng</w:t>
      </w:r>
      <w:r>
        <w:t xml:space="preserve">, công thức E=mc</w:t>
      </w:r>
      <w:r>
        <w:rPr>
          <w:vertAlign w:val="superscript"/>
        </w:rPr>
        <w:t xml:space="preserve">2</w:t>
      </w:r>
      <w:r>
        <w:t xml:space="preserve"> và H</w:t>
      </w:r>
      <w:r>
        <w:rPr>
          <w:vertAlign w:val="subscript"/>
        </w:rPr>
        <w:t xml:space="preserve">2</w:t>
      </w:r>
      <w:r>
        <w:t xml:space="preserve">O (super/subscript), </w:t>
      </w:r>
      <w:r>
        <w:rPr>
          <w:sz w:val="28"/>
        </w:rPr>
        <w:t xml:space="preserve">chữ to 14pt</w:t>
      </w:r>
      <w:r>
        <w:t xml:space="preserve"> và </w:t>
      </w:r>
      <w:r>
        <w:rPr>
          <w:sz w:val="16"/>
        </w:rPr>
        <w:t xml:space="preserve">chữ nhỏ 8pt</w:t>
      </w:r>
      <w:r>
        <w:t xml:space="preserve"> trong cùng một dòng để kiểm tra đo chữ theo từng run</w:t>
      </w:r>
      <w:r>
        <w:footnoteReference w:id="1"/>
      </w:r>
      <w:r>
        <w:t xml:space="preserve">.</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2. Danh sách đa cấp</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numPr>
          <w:ilvl w:val="0"/>
          <w:numId w:val="1"/>
        </w:numPr>
      </w:pPr>
      <w:r>
        <w:t xml:space="preserve">Hạng mục thứ nhất của danh sách đánh số</w:t>
      </w:r>
    </w:p>
    <w:p>
      <w:pPr>
        <w:numPr>
          <w:ilvl w:val="1"/>
          <w:numId w:val="1"/>
        </w:numPr>
      </w:pPr>
      <w:r>
        <w:t xml:space="preserve">Mục con a — thụt lề cấp hai</w:t>
      </w:r>
    </w:p>
    <w:p>
      <w:pPr>
        <w:numPr>
          <w:ilvl w:val="1"/>
          <w:numId w:val="1"/>
        </w:numPr>
      </w:pPr>
      <w:r>
        <w:t xml:space="preserve">Mục con b đủ dài để tự xuống dòng và kiểm tra hanging indent của marker khi nội dung tràn sang dòng tiếp theo</w:t>
      </w:r>
    </w:p>
    <w:p>
      <w:pPr>
        <w:numPr>
          <w:ilvl w:val="0"/>
          <w:numId w:val="1"/>
        </w:numPr>
      </w:pPr>
      <w:r>
        <w:t xml:space="preserve">Hạng mục thứ hai quay về cấp một</w:t>
      </w:r>
    </w:p>
    <w:p>
      <w:pPr>
        <w:numPr>
          <w:ilvl w:val="0"/>
          <w:numId w:val="2"/>
        </w:numPr>
      </w:pPr>
      <w:r>
        <w:t xml:space="preserve">Gạch đầu dòng thứ nhất</w:t>
      </w:r>
    </w:p>
    <w:p>
      <w:pPr>
        <w:numPr>
          <w:ilvl w:val="0"/>
          <w:numId w:val="2"/>
        </w:numPr>
      </w:pPr>
      <w:r>
        <w:t xml:space="preserve">Gạch đầu dòng thứ hai</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3. Bảng: căn giữa, gộp ô, nền &amp; viền ô</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tbl>
      <w:tblPr>
        <w:jc w:val="center"/>
        <w:tblBorders>
          <w:top w:val="single"/>
          <w:bottom w:val="single"/>
          <w:left w:val="single"/>
          <w:right w:val="single"/>
          <w:insideH w:val="single"/>
          <w:insideV w:val="single"/>
        </w:tblBorders>
      </w:tblPr>
      <w:tblGrid>
        <w:gridCol w:w="2400"/>
        <w:gridCol w:w="2800"/>
        <w:gridCol w:w="2800"/>
      </w:tblGrid>
      <w:tr>
        <w:trPr>
          <w:trHeight w:val="600" w:hRule="atLeast"/>
        </w:trPr>
        <w:tc>
          <w:tcPr>
            <w:shd w:fill="D9E2F3"/>
            <w:vAlign w:val="center"/>
          </w:tcPr>
          <w:p>
            <w:r>
              <w:rPr>
                <w:b/>
              </w:rPr>
              <w:t xml:space="preserve">Khu vực</w:t>
            </w:r>
          </w:p>
        </w:tc>
        <w:tc>
          <w:tcPr>
            <w:shd w:fill="D9E2F3"/>
            <w:vAlign w:val="center"/>
          </w:tcPr>
          <w:p>
            <w:r>
              <w:rPr>
                <w:b/>
              </w:rPr>
              <w:t xml:space="preserve">Quý 1</w:t>
            </w:r>
          </w:p>
        </w:tc>
        <w:tc>
          <w:tcPr>
            <w:shd w:fill="D9E2F3"/>
            <w:vAlign w:val="center"/>
          </w:tcPr>
          <w:p>
            <w:r>
              <w:rPr>
                <w:b/>
              </w:rPr>
              <w:t xml:space="preserve">Quý 2</w:t>
            </w:r>
          </w:p>
        </w:tc>
      </w:tr>
      <w:tr>
        <w:tc>
          <w:tcPr>
            <w:vMerge w:val="restart"/>
          </w:tcPr>
          <w:p>
            <w:r>
              <w:t xml:space="preserve">Miền Bắc — ô gộp dọc qua hai hàng</w:t>
            </w:r>
          </w:p>
        </w:tc>
        <w:tc>
          <w:tcPr/>
          <w:p>
            <w:r>
              <w:t xml:space="preserve">120 đơn hàng</w:t>
            </w:r>
          </w:p>
        </w:tc>
        <w:tc>
          <w:tcPr/>
          <w:p>
            <w:r>
              <w:t xml:space="preserve">158 đơn hàng, tăng trưởng tốt nhờ chiến dịch mới</w:t>
            </w:r>
            <w:r>
              <w:footnoteReference w:id="3"/>
            </w:r>
          </w:p>
        </w:tc>
      </w:tr>
      <w:tr>
        <w:tc>
          <w:tcPr>
            <w:vMerge/>
          </w:tcPr>
          <w:p/>
        </w:tc>
        <w:tc>
          <w:tcPr>
            <w:tcBorders>
              <w:top w:val="nil"/>
              <w:bottom w:val="nil"/>
            </w:tcBorders>
          </w:tcPr>
          <w:p>
            <w:r>
              <w:t xml:space="preserve">95</w:t>
            </w:r>
          </w:p>
        </w:tc>
        <w:tc>
          <w:tcPr/>
          <w:p>
            <w:r>
              <w:t xml:space="preserve">102</w:t>
            </w:r>
          </w:p>
        </w:tc>
      </w:tr>
      <w:tr>
        <w:tc>
          <w:tcPr>
            <w:gridSpan w:val="3"/>
            <w:vAlign w:val="bottom"/>
          </w:tcPr>
          <w:p>
            <w:r>
              <w:rPr>
                <w:i/>
              </w:rPr>
              <w:t xml:space="preserve">Tổng hợp cả nước — ô gộp ngang ba cột, canh dưới</w:t>
            </w:r>
          </w:p>
        </w:tc>
      </w:tr>
    </w:tbl>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4. Ảnh inline và canh lề</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r>
        <w:t xml:space="preserve">Ảnh nhỏ </w:t>
      </w:r>
      <w:r>
        <w:drawing>
          <wp:inline>
            <wp:extent cx="304800" cy="304800"/>
            <wp:docPr id="1" name="red square" descr="red square"/>
            <a:graphic>
              <a:graphicData>
                <pic:pic>
                  <pic:blipFill>
                    <a:blip r:embed="rId7"/>
                  </pic:blipFill>
                </pic:pic>
              </a:graphicData>
            </a:graphic>
          </wp:inline>
        </w:drawing>
      </w:r>
      <w:r>
        <w:t xml:space="preserve"> nằm giữa chữ, còn ảnh to hơn </w:t>
      </w:r>
      <w:r>
        <w:drawing>
          <wp:inline>
            <wp:extent cx="685800" cy="685800"/>
            <wp:docPr id="1" name="blue square" descr="blue square"/>
            <a:graphic>
              <a:graphicData>
                <pic:pic>
                  <pic:blipFill>
                    <a:blip r:embed="rId8"/>
                  </pic:blipFill>
                </pic:pic>
              </a:graphicData>
            </a:graphic>
          </wp:inline>
        </w:drawing>
      </w:r>
      <w:r>
        <w:t xml:space="preserve"> đẩy chiều cao dòng lên theo.</w:t>
      </w:r>
    </w:p>
    <w:p>
      <w:pPr>
        <w:jc w:val="center"/>
      </w:pPr>
      <w:r>
        <w:t xml:space="preserve">Đoạn này canh giữa.</w:t>
      </w:r>
    </w:p>
    <w:p>
      <w:pPr>
        <w:jc w:val="right"/>
      </w:pPr>
      <w:r>
        <w:t xml:space="preserve">Đoạn này canh phải.</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5. Liên kết và thụt lề treo</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hyperlink r:id="rId9">
        <w:r>
          <w:t xml:space="preserve">Trang chủ ProseMirror</w:t>
        </w:r>
      </w:hyperlink>
      <w:r>
        <w:t xml:space="preserve"> — hyperlink qua relationship, mark link giữ href trong model.</w:t>
      </w:r>
    </w:p>
    <w:p>
      <w:pPr>
        <w:ind w:left="720" w:hanging="720"/>
      </w:pPr>
      <w:r>
        <w:t xml:space="preserve">Thụt lề treo: dòng đầu lùi ra ngoài, các dòng tiếp theo thẳng hàng với lề trái đã thụt — kiểu trình bày danh mục tài liệu tham khảo quen thuộc trong văn bản học thuật.</w:t>
      </w:r>
    </w:p>
    <w:p>
      <w:pPr>
        <w:pStyle w:val="Quote"/>
      </w:pPr>
      <w:r>
        <w:t xml:space="preserve">Đoạn này dùng style "Quote": thụt lề hai bên và chữ nghiêng đến từ STYLE (cascade pPr qua w:basedOn), không khai inline — đúng cách văn bản công sở dùng Heading/Quote/ListParagraph.</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6. Ảnh floating — chữ chảy quanh ảnh</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r>
        <w:drawing>
          <wp:anchor distT="0" distB="0" distL="114300" distR="114300">
            <wp:positionH relativeFrom="margin">
              <wp:align>right</wp:align>
            </wp:positionH>
            <wp:positionV relativeFrom="paragraph">
              <wp:posOffset>0</wp:posOffset>
            </wp:positionV>
            <wp:extent cx="1333500" cy="1333500"/>
            <wp:docPr id="2" name="Float 1" descr="blue float"/>
            <wp:wrapSquare wrapText="bothSides"/>
            <a:graphic>
              <a:graphicData>
                <pic:pic>
                  <pic:blipFill>
                    <a:blip r:embed="rId8"/>
                  </pic:blipFill>
                </pic:pic>
              </a:graphicData>
            </a:graphic>
          </wp:anchor>
        </w:drawing>
      </w:r>
      <w:r>
        <w:t xml:space="preserve">Ảnh xanh 140px neo bên phải với wrapSquare: dòng nào nằm ngang ảnh sẽ thu hẹp lại, chữ chảy dọc theo mép trái của ảnh. </w:t>
      </w:r>
      <w:r>
        <w:t xml:space="preserve">Lorem ipsum dolor sit amet, consectetur adipiscing elit, sed do eiusmod tempor incididunt ut labore et dolore magna aliqua. Ut enim ad minim veniam, quis nostrud exercitation ullamco laboris nisi ut aliquip ex ea commodo consequat.</w:t>
      </w:r>
      <w:r>
        <w:t xml:space="preserve"> Việt Nam đất nước ta ơi, mênh mông biển lúa đâu trời đẹp hơn. Cánh cò bay lả rập rờn, mây mờ che đỉnh Trường Sơn sớm chiều. Quê hương biết mấy thân yêu, bao nhiêu đời đã chịu nhiều thương đau.</w:t>
      </w:r>
    </w:p>
    <w:p>
      <w:r>
        <w:t xml:space="preserve">Đoạn kế tiếp không có ảnh nhưng vẫn né rect của ảnh nếu ảnh còn thò xuống — exclusion sống theo trang, không theo đoạn. Gõ tiếng Việt có dấu là bài kiểm tra quan trọng nhất của bapbong: chữ ư, ơ, ă, â, ê, ô cùng các thanh sắc huyền hỏi ngã nặng phải hiển thị đúng trên canvas ở mọi cỡ chữ và kiểu chữ.</w:t>
      </w:r>
    </w:p>
    <w:p>
      <w:r>
        <w:drawing>
          <wp:anchor distT="57150" distB="57150">
            <wp:positionH relativeFrom="margin">
              <wp:align>center</wp:align>
            </wp:positionH>
            <wp:positionV relativeFrom="paragraph">
              <wp:posOffset>190500</wp:posOffset>
            </wp:positionV>
            <wp:extent cx="952500" cy="476250"/>
            <wp:docPr id="3" name="Float 2" descr="red band"/>
            <wp:wrapTopAndBottom/>
            <a:graphic>
              <a:graphicData>
                <pic:pic>
                  <pic:blipFill>
                    <a:blip r:embed="rId7"/>
                  </pic:blipFill>
                </pic:pic>
              </a:graphicData>
            </a:graphic>
          </wp:anchor>
        </w:drawing>
      </w:r>
      <w:r>
        <w:t xml:space="preserve">Còn ảnh đỏ dưới đây dùng wrapTopAndBottom: không dòng nào đứng cạnh ảnh — văn bản nhảy hẳn xuống dưới. Duis aute irure dolor in reprehenderit in voluptate velit esse cillum dolore eu fugiat nulla pariatur. Excepteur sint occaecat cupidatat non proident, sunt in culpa qui officia deserunt mollit anim id est laborum.</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7. Tab stops tùy biến (w:tabs)</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tabs>
          <w:tab w:val="right" w:pos="9000" w:leader="dot"/>
        </w:tabs>
      </w:pPr>
      <w:r>
        <w:t xml:space="preserve">Chương 1 — Mở đầu</w:t>
      </w:r>
      <w:r>
        <w:tab/>
      </w:r>
      <w:r>
        <w:t xml:space="preserve">3</w:t>
      </w:r>
    </w:p>
    <w:p>
      <w:pPr>
        <w:tabs>
          <w:tab w:val="right" w:pos="9000" w:leader="dot"/>
        </w:tabs>
      </w:pPr>
      <w:r>
        <w:t xml:space="preserve">Chương 2 — Kiến trúc canvas</w:t>
      </w:r>
      <w:r>
        <w:tab/>
      </w:r>
      <w:r>
        <w:t xml:space="preserve">12</w:t>
      </w:r>
    </w:p>
    <w:p>
      <w:pPr>
        <w:tabs>
          <w:tab w:val="right" w:pos="9000" w:leader="dot"/>
        </w:tabs>
      </w:pPr>
      <w:r>
        <w:t xml:space="preserve">Chương 3 — Ngắt trang bảng</w:t>
      </w:r>
      <w:r>
        <w:tab/>
      </w:r>
      <w:r>
        <w:t xml:space="preserve">27</w:t>
      </w:r>
    </w:p>
    <w:p>
      <w:pPr>
        <w:tabs>
          <w:tab w:val="center" w:pos="4560"/>
          <w:tab w:val="right" w:pos="9000"/>
        </w:tabs>
      </w:pPr>
      <w:r>
        <w:rPr>
          <w:b/>
        </w:rPr>
        <w:t xml:space="preserve">NGƯỜI LẬP</w:t>
      </w:r>
      <w:r>
        <w:tab/>
      </w:r>
      <w:r>
        <w:rPr>
          <w:b/>
        </w:rPr>
        <w:t xml:space="preserve">KẾ TOÁN</w:t>
      </w:r>
      <w:r>
        <w:tab/>
      </w:r>
      <w:r>
        <w:rPr>
          <w:b/>
        </w:rPr>
        <w:t xml:space="preserve">GIÁM ĐỐC</w:t>
      </w:r>
    </w:p>
    <w:p>
      <w:pPr>
        <w:tabs>
          <w:tab w:val="decimal" w:pos="6000"/>
        </w:tabs>
      </w:pPr>
      <w:r>
        <w:t xml:space="preserve">Phí khởi tạo</w:t>
      </w:r>
      <w:r>
        <w:tab/>
      </w:r>
      <w:r>
        <w:t xml:space="preserve">1.250 đ</w:t>
      </w:r>
    </w:p>
    <w:p>
      <w:pPr>
        <w:tabs>
          <w:tab w:val="decimal" w:pos="6000"/>
        </w:tabs>
      </w:pPr>
      <w:r>
        <w:t xml:space="preserve">Thuê bao tháng</w:t>
      </w:r>
      <w:r>
        <w:tab/>
      </w:r>
      <w:r>
        <w:t xml:space="preserve">99 đ</w:t>
      </w:r>
    </w:p>
    <w:p>
      <w:pPr>
        <w:tabs>
          <w:tab w:val="decimal" w:pos="6000"/>
        </w:tabs>
      </w:pPr>
      <w:r>
        <w:t xml:space="preserve">Phụ phí vùng xa</w:t>
      </w:r>
      <w:r>
        <w:tab/>
      </w:r>
      <w:r>
        <w:t xml:space="preserve">12.345 đ</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8. Giãn dòng, ngắt dòng mềm &amp; ký hiệu</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spacing w:before="240" w:after="120" w:line="360" w:lineRule="auto"/>
      </w:pPr>
      <w:r>
        <w:t xml:space="preserve">Đoạn này dùng w:spacing — giãn dòng 1.5, cách đoạn trên 12pt và dưới 6pt nên trông thưa hơn hẳn các đoạn quanh nó</w:t>
      </w:r>
      <w:r>
        <w:footnoteReference w:id="2"/>
      </w:r>
      <w:r>
        <w:t xml:space="preserve">. Sed ut perspiciatis unde omnis iste natus error sit voluptatem accusantium doloremque laudantium, totam rem aperiam, eaque ipsa quae ab illo inventore veritatis et quasi architecto beatae vitae dicta sunt explicabo.</w:t>
      </w:r>
    </w:p>
    <w:p>
      <w:r>
        <w:t xml:space="preserve">Dòng đầu của đoạn này</w:t>
      </w:r>
      <w:r>
        <w:br/>
      </w:r>
      <w:r>
        <w:t xml:space="preserve">được ngắt dòng mềm (w:br) xuống dòng hai mà vẫn nằm trong cùng một paragraph.</w:t>
      </w:r>
    </w:p>
    <w:p>
      <w:r>
        <w:sym w:font="Wingdings" w:char="F0B7"/>
      </w:r>
      <w:r>
        <w:t xml:space="preserve"> Ký hiệu w:sym (Wingdings F0B7 → •) chèn ngay đầu dòng — khác với bullet của danh sách.</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pageBreakBefore/>
        <w:jc w:val="left"/>
      </w:pPr>
      <w:r>
        <w:rPr>
          <w:b/>
          <w:sz w:val="28"/>
        </w:rPr>
        <w:t xml:space="preserve">9. Phần đệm — bắt đầu trang mới (w:pageBreakBefore)</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10. Bảng thứ hai ở cuối tài liệu</w:t>
      </w:r>
    </w:p>
    <w:tbl>
      <w:tblGrid>
        <w:gridCol w:w="4515"/>
        <w:gridCol w:w="4515"/>
      </w:tblGrid>
      <w:tr>
        <w:tc>
          <w:tcPr/>
          <w:p>
            <w:r>
              <w:rPr>
                <w:b/>
              </w:rPr>
              <w:t xml:space="preserve">Cột trái</w:t>
            </w:r>
          </w:p>
        </w:tc>
        <w:tc>
          <w:tcPr/>
          <w:p>
            <w:r>
              <w:rPr>
                <w:b/>
              </w:rPr>
              <w:t xml:space="preserve">Cột phải</w:t>
            </w:r>
          </w:p>
        </w:tc>
      </w:tr>
      <w:tr>
        <w:tc>
          <w:tcPr/>
          <w:p>
            <w:r>
              <w:t xml:space="preserve">Bảng nằm gần cuối tài liệu để kiểm tra ngắt-trang-nguyên-bảng khi không đủ chỗ.</w:t>
            </w:r>
          </w:p>
        </w:tc>
        <w:tc>
          <w:tcPr/>
          <w:p>
            <w:r>
              <w:t xml:space="preserve">Ô bên phải.</w:t>
            </w:r>
          </w:p>
        </w:tc>
      </w:tr>
    </w:tbl>
    <w:p>
      <w:pPr>
        <w:jc w:val="left"/>
      </w:pPr>
      <w:r>
        <w:rPr>
          <w:b/>
          <w:sz w:val="28"/>
        </w:rPr>
        <w:t xml:space="preserve">11. Bảng dài trải qua nhiều trang</w:t>
      </w:r>
    </w:p>
    <w:p>
      <w:r>
        <w:t xml:space="preserve">Bảng dưới đây có 36 hàng — dài hơn một trang, buộc layout engine phải ngắt trang theo từng hàng (M5).</w:t>
      </w:r>
    </w:p>
    <w:tbl>
      <w:tblGrid>
        <w:gridCol w:w="2400"/>
        <w:gridCol w:w="6630"/>
      </w:tblGrid>
      <w:tr>
        <w:trPr>
          <w:tblHeader/>
        </w:trPr>
        <w:tc>
          <w:tcPr/>
          <w:p>
            <w:r>
              <w:rPr>
                <w:b/>
              </w:rPr>
              <w:t xml:space="preserve">Hàng</w:t>
            </w:r>
          </w:p>
        </w:tc>
        <w:tc>
          <w:tcPr/>
          <w:p>
            <w:r>
              <w:rPr>
                <w:b/>
              </w:rPr>
              <w:t xml:space="preserve">Mô tả (hàng tiêu đề lặp lại mỗi trang)</w:t>
            </w:r>
          </w:p>
        </w:tc>
      </w:tr>
      <w:tr>
        <w:tc>
          <w:tcPr/>
          <w:p>
            <w:r>
              <w:t xml:space="preserve">Hàng 1</w:t>
            </w:r>
          </w:p>
        </w:tc>
        <w:tc>
          <w:tcPr/>
          <w:p>
            <w:r>
              <w:t xml:space="preserve">Nội dung ô bên phải của hàng 1 — một dòng mô tả đủ dài để chiếm trọn bề ngang cột và đôi khi xuống dòng thứ hai.</w:t>
            </w:r>
          </w:p>
        </w:tc>
      </w:tr>
      <w:tr>
        <w:tc>
          <w:tcPr/>
          <w:p>
            <w:r>
              <w:t xml:space="preserve">Hàng 2</w:t>
            </w:r>
          </w:p>
        </w:tc>
        <w:tc>
          <w:tcPr/>
          <w:p>
            <w:r>
              <w:t xml:space="preserve">Nội dung ô bên phải của hàng 2 — một dòng mô tả đủ dài để chiếm trọn bề ngang cột và đôi khi xuống dòng thứ hai.</w:t>
            </w:r>
          </w:p>
        </w:tc>
      </w:tr>
      <w:tr>
        <w:tc>
          <w:tcPr/>
          <w:p>
            <w:r>
              <w:t xml:space="preserve">Hàng 3</w:t>
            </w:r>
          </w:p>
        </w:tc>
        <w:tc>
          <w:tcPr/>
          <w:p>
            <w:r>
              <w:t xml:space="preserve">Nội dung ô bên phải của hàng 3 — một dòng mô tả đủ dài để chiếm trọn bề ngang cột và đôi khi xuống dòng thứ hai.</w:t>
            </w:r>
          </w:p>
        </w:tc>
      </w:tr>
      <w:tr>
        <w:tc>
          <w:tcPr/>
          <w:p>
            <w:r>
              <w:t xml:space="preserve">Hàng 4</w:t>
            </w:r>
          </w:p>
        </w:tc>
        <w:tc>
          <w:tcPr/>
          <w:p>
            <w:r>
              <w:t xml:space="preserve">Nội dung ô bên phải của hàng 4 — một dòng mô tả đủ dài để chiếm trọn bề ngang cột và đôi khi xuống dòng thứ hai.</w:t>
            </w:r>
          </w:p>
        </w:tc>
      </w:tr>
      <w:tr>
        <w:tc>
          <w:tcPr/>
          <w:p>
            <w:r>
              <w:t xml:space="preserve">Hàng 5</w:t>
            </w:r>
          </w:p>
        </w:tc>
        <w:tc>
          <w:tcPr/>
          <w:p>
            <w:r>
              <w:t xml:space="preserve">Nội dung ô bên phải của hàng 5 — một dòng mô tả đủ dài để chiếm trọn bề ngang cột và đôi khi xuống dòng thứ hai.</w:t>
            </w:r>
          </w:p>
        </w:tc>
      </w:tr>
      <w:tr>
        <w:tc>
          <w:tcPr/>
          <w:p>
            <w:r>
              <w:t xml:space="preserve">Hàng 6</w:t>
            </w:r>
          </w:p>
        </w:tc>
        <w:tc>
          <w:tcPr/>
          <w:p>
            <w:r>
              <w:t xml:space="preserve">Nội dung ô bên phải của hàng 6 — một dòng mô tả đủ dài để chiếm trọn bề ngang cột và đôi khi xuống dòng thứ hai.</w:t>
            </w:r>
          </w:p>
        </w:tc>
      </w:tr>
      <w:tr>
        <w:tc>
          <w:tcPr/>
          <w:p>
            <w:r>
              <w:t xml:space="preserve">Hàng 7</w:t>
            </w:r>
          </w:p>
        </w:tc>
        <w:tc>
          <w:tcPr/>
          <w:p>
            <w:r>
              <w:t xml:space="preserve">Nội dung ô bên phải của hàng 7 — một dòng mô tả đủ dài để chiếm trọn bề ngang cột và đôi khi xuống dòng thứ hai.</w:t>
            </w:r>
          </w:p>
        </w:tc>
      </w:tr>
      <w:tr>
        <w:tc>
          <w:tcPr/>
          <w:p>
            <w:r>
              <w:t xml:space="preserve">Hàng 8</w:t>
            </w:r>
          </w:p>
        </w:tc>
        <w:tc>
          <w:tcPr/>
          <w:p>
            <w:r>
              <w:t xml:space="preserve">Nội dung ô bên phải của hàng 8 — một dòng mô tả đủ dài để chiếm trọn bề ngang cột và đôi khi xuống dòng thứ hai.</w:t>
            </w:r>
          </w:p>
        </w:tc>
      </w:tr>
      <w:tr>
        <w:tc>
          <w:tcPr/>
          <w:p>
            <w:r>
              <w:t xml:space="preserve">Hàng 9</w:t>
            </w:r>
          </w:p>
        </w:tc>
        <w:tc>
          <w:tcPr/>
          <w:p>
            <w:r>
              <w:t xml:space="preserve">Nội dung ô bên phải của hàng 9 — một dòng mô tả đủ dài để chiếm trọn bề ngang cột và đôi khi xuống dòng thứ hai.</w:t>
            </w:r>
          </w:p>
        </w:tc>
      </w:tr>
      <w:tr>
        <w:tc>
          <w:tcPr/>
          <w:p>
            <w:r>
              <w:t xml:space="preserve">Hàng 10</w:t>
            </w:r>
          </w:p>
        </w:tc>
        <w:tc>
          <w:tcPr/>
          <w:p>
            <w:r>
              <w:t xml:space="preserve">Nội dung ô bên phải của hàng 10 — một dòng mô tả đủ dài để chiếm trọn bề ngang cột và đôi khi xuống dòng thứ hai.</w:t>
            </w:r>
          </w:p>
        </w:tc>
      </w:tr>
      <w:tr>
        <w:tc>
          <w:tcPr/>
          <w:p>
            <w:r>
              <w:t xml:space="preserve">Hàng 11</w:t>
            </w:r>
          </w:p>
        </w:tc>
        <w:tc>
          <w:tcPr/>
          <w:p>
            <w:r>
              <w:t xml:space="preserve">Nội dung ô bên phải của hàng 11 — một dòng mô tả đủ dài để chiếm trọn bề ngang cột và đôi khi xuống dòng thứ hai.</w:t>
            </w:r>
          </w:p>
        </w:tc>
      </w:tr>
      <w:tr>
        <w:tc>
          <w:tcPr/>
          <w:p>
            <w:r>
              <w:t xml:space="preserve">Hàng 12</w:t>
            </w:r>
          </w:p>
        </w:tc>
        <w:tc>
          <w:tcPr/>
          <w:p>
            <w:r>
              <w:t xml:space="preserve">Nội dung ô bên phải của hàng 12 — một dòng mô tả đủ dài để chiếm trọn bề ngang cột và đôi khi xuống dòng thứ hai.</w:t>
            </w:r>
          </w:p>
        </w:tc>
      </w:tr>
      <w:tr>
        <w:tc>
          <w:tcPr/>
          <w:p>
            <w:r>
              <w:t xml:space="preserve">Hàng 13</w:t>
            </w:r>
          </w:p>
        </w:tc>
        <w:tc>
          <w:tcPr/>
          <w:p>
            <w:r>
              <w:t xml:space="preserve">Nội dung ô bên phải của hàng 13 — một dòng mô tả đủ dài để chiếm trọn bề ngang cột và đôi khi xuống dòng thứ hai.</w:t>
            </w:r>
          </w:p>
        </w:tc>
      </w:tr>
      <w:tr>
        <w:tc>
          <w:tcPr/>
          <w:p>
            <w:r>
              <w:t xml:space="preserve">Hàng 14</w:t>
            </w:r>
          </w:p>
        </w:tc>
        <w:tc>
          <w:tcPr/>
          <w:p>
            <w:r>
              <w:t xml:space="preserve">Nội dung ô bên phải của hàng 14 — một dòng mô tả đủ dài để chiếm trọn bề ngang cột và đôi khi xuống dòng thứ hai.</w:t>
            </w:r>
          </w:p>
        </w:tc>
      </w:tr>
      <w:tr>
        <w:tc>
          <w:tcPr/>
          <w:p>
            <w:r>
              <w:t xml:space="preserve">Hàng 15</w:t>
            </w:r>
          </w:p>
        </w:tc>
        <w:tc>
          <w:tcPr/>
          <w:p>
            <w:r>
              <w:t xml:space="preserve">Nội dung ô bên phải của hàng 15 — một dòng mô tả đủ dài để chiếm trọn bề ngang cột và đôi khi xuống dòng thứ hai.</w:t>
            </w:r>
          </w:p>
        </w:tc>
      </w:tr>
      <w:tr>
        <w:tc>
          <w:tcPr/>
          <w:p>
            <w:r>
              <w:t xml:space="preserve">Hàng 16</w:t>
            </w:r>
          </w:p>
        </w:tc>
        <w:tc>
          <w:tcPr/>
          <w:p>
            <w:r>
              <w:t xml:space="preserve">Nội dung ô bên phải của hàng 16 — một dòng mô tả đủ dài để chiếm trọn bề ngang cột và đôi khi xuống dòng thứ hai.</w:t>
            </w:r>
          </w:p>
        </w:tc>
      </w:tr>
      <w:tr>
        <w:tc>
          <w:tcPr/>
          <w:p>
            <w:r>
              <w:t xml:space="preserve">Hàng 17</w:t>
            </w:r>
          </w:p>
        </w:tc>
        <w:tc>
          <w:tcPr/>
          <w:p>
            <w:r>
              <w:t xml:space="preserve">Nội dung ô bên phải của hàng 17 — một dòng mô tả đủ dài để chiếm trọn bề ngang cột và đôi khi xuống dòng thứ hai.</w:t>
            </w:r>
          </w:p>
        </w:tc>
      </w:tr>
      <w:tr>
        <w:tc>
          <w:tcPr/>
          <w:p>
            <w:r>
              <w:t xml:space="preserve">Hàng 18</w:t>
            </w:r>
          </w:p>
        </w:tc>
        <w:tc>
          <w:tcPr/>
          <w:p>
            <w:r>
              <w:t xml:space="preserve">Nội dung ô bên phải của hàng 18 — một dòng mô tả đủ dài để chiếm trọn bề ngang cột và đôi khi xuống dòng thứ hai.</w:t>
            </w:r>
          </w:p>
        </w:tc>
      </w:tr>
      <w:tr>
        <w:tc>
          <w:tcPr/>
          <w:p>
            <w:r>
              <w:t xml:space="preserve">Hàng 19</w:t>
            </w:r>
          </w:p>
        </w:tc>
        <w:tc>
          <w:tcPr/>
          <w:p>
            <w:r>
              <w:t xml:space="preserve">Nội dung ô bên phải của hàng 19 — một dòng mô tả đủ dài để chiếm trọn bề ngang cột và đôi khi xuống dòng thứ hai.</w:t>
            </w:r>
          </w:p>
        </w:tc>
      </w:tr>
      <w:tr>
        <w:tc>
          <w:tcPr/>
          <w:p>
            <w:r>
              <w:t xml:space="preserve">Hàng 20</w:t>
            </w:r>
          </w:p>
        </w:tc>
        <w:tc>
          <w:tcPr/>
          <w:p>
            <w:r>
              <w:t xml:space="preserve">Nội dung ô bên phải của hàng 20 — một dòng mô tả đủ dài để chiếm trọn bề ngang cột và đôi khi xuống dòng thứ hai.</w:t>
            </w:r>
          </w:p>
        </w:tc>
      </w:tr>
      <w:tr>
        <w:tc>
          <w:tcPr/>
          <w:p>
            <w:r>
              <w:t xml:space="preserve">Hàng 21</w:t>
            </w:r>
          </w:p>
        </w:tc>
        <w:tc>
          <w:tcPr/>
          <w:p>
            <w:r>
              <w:t xml:space="preserve">Nội dung ô bên phải của hàng 21 — một dòng mô tả đủ dài để chiếm trọn bề ngang cột và đôi khi xuống dòng thứ hai.</w:t>
            </w:r>
          </w:p>
        </w:tc>
      </w:tr>
      <w:tr>
        <w:tc>
          <w:tcPr/>
          <w:p>
            <w:r>
              <w:t xml:space="preserve">Hàng 22</w:t>
            </w:r>
          </w:p>
        </w:tc>
        <w:tc>
          <w:tcPr/>
          <w:p>
            <w:r>
              <w:t xml:space="preserve">Nội dung ô bên phải của hàng 22 — một dòng mô tả đủ dài để chiếm trọn bề ngang cột và đôi khi xuống dòng thứ hai.</w:t>
            </w:r>
          </w:p>
        </w:tc>
      </w:tr>
      <w:tr>
        <w:tc>
          <w:tcPr/>
          <w:p>
            <w:r>
              <w:t xml:space="preserve">Hàng 23</w:t>
            </w:r>
          </w:p>
        </w:tc>
        <w:tc>
          <w:tcPr/>
          <w:p>
            <w:r>
              <w:t xml:space="preserve">Nội dung ô bên phải của hàng 23 — một dòng mô tả đủ dài để chiếm trọn bề ngang cột và đôi khi xuống dòng thứ hai.</w:t>
            </w:r>
          </w:p>
        </w:tc>
      </w:tr>
      <w:tr>
        <w:tc>
          <w:tcPr/>
          <w:p>
            <w:r>
              <w:t xml:space="preserve">Hàng 24</w:t>
            </w:r>
          </w:p>
        </w:tc>
        <w:tc>
          <w:tcPr/>
          <w:p>
            <w:r>
              <w:t xml:space="preserve">Nội dung ô bên phải của hàng 24 — một dòng mô tả đủ dài để chiếm trọn bề ngang cột và đôi khi xuống dòng thứ hai.</w:t>
            </w:r>
          </w:p>
        </w:tc>
      </w:tr>
      <w:tr>
        <w:tc>
          <w:tcPr/>
          <w:p>
            <w:r>
              <w:t xml:space="preserve">Hàng 25</w:t>
            </w:r>
          </w:p>
        </w:tc>
        <w:tc>
          <w:tcPr/>
          <w:p>
            <w:r>
              <w:t xml:space="preserve">Nội dung ô bên phải của hàng 25 — một dòng mô tả đủ dài để chiếm trọn bề ngang cột và đôi khi xuống dòng thứ hai.</w:t>
            </w:r>
          </w:p>
        </w:tc>
      </w:tr>
      <w:tr>
        <w:tc>
          <w:tcPr/>
          <w:p>
            <w:r>
              <w:t xml:space="preserve">Hàng 26</w:t>
            </w:r>
          </w:p>
        </w:tc>
        <w:tc>
          <w:tcPr/>
          <w:p>
            <w:r>
              <w:t xml:space="preserve">Nội dung ô bên phải của hàng 26 — một dòng mô tả đủ dài để chiếm trọn bề ngang cột và đôi khi xuống dòng thứ hai.</w:t>
            </w:r>
          </w:p>
        </w:tc>
      </w:tr>
      <w:tr>
        <w:tc>
          <w:tcPr/>
          <w:p>
            <w:r>
              <w:t xml:space="preserve">Hàng 27</w:t>
            </w:r>
          </w:p>
        </w:tc>
        <w:tc>
          <w:tcPr/>
          <w:p>
            <w:r>
              <w:t xml:space="preserve">Nội dung ô bên phải của hàng 27 — một dòng mô tả đủ dài để chiếm trọn bề ngang cột và đôi khi xuống dòng thứ hai.</w:t>
            </w:r>
          </w:p>
        </w:tc>
      </w:tr>
      <w:tr>
        <w:tc>
          <w:tcPr/>
          <w:p>
            <w:r>
              <w:t xml:space="preserve">Hàng 28</w:t>
            </w:r>
          </w:p>
        </w:tc>
        <w:tc>
          <w:tcPr/>
          <w:p>
            <w:r>
              <w:t xml:space="preserve">Nội dung ô bên phải của hàng 28 — một dòng mô tả đủ dài để chiếm trọn bề ngang cột và đôi khi xuống dòng thứ hai.</w:t>
            </w:r>
          </w:p>
        </w:tc>
      </w:tr>
      <w:tr>
        <w:tc>
          <w:tcPr/>
          <w:p>
            <w:r>
              <w:t xml:space="preserve">Hàng 29</w:t>
            </w:r>
          </w:p>
        </w:tc>
        <w:tc>
          <w:tcPr/>
          <w:p>
            <w:r>
              <w:t xml:space="preserve">Nội dung ô bên phải của hàng 29 — một dòng mô tả đủ dài để chiếm trọn bề ngang cột và đôi khi xuống dòng thứ hai.</w:t>
            </w:r>
          </w:p>
        </w:tc>
      </w:tr>
      <w:tr>
        <w:tc>
          <w:tcPr/>
          <w:p>
            <w:r>
              <w:t xml:space="preserve">Hàng 30</w:t>
            </w:r>
          </w:p>
        </w:tc>
        <w:tc>
          <w:tcPr/>
          <w:p>
            <w:r>
              <w:t xml:space="preserve">Nội dung ô bên phải của hàng 30 — một dòng mô tả đủ dài để chiếm trọn bề ngang cột và đôi khi xuống dòng thứ hai.</w:t>
            </w:r>
          </w:p>
        </w:tc>
      </w:tr>
      <w:tr>
        <w:tc>
          <w:tcPr/>
          <w:p>
            <w:r>
              <w:t xml:space="preserve">Hàng 31</w:t>
            </w:r>
          </w:p>
        </w:tc>
        <w:tc>
          <w:tcPr/>
          <w:p>
            <w:r>
              <w:t xml:space="preserve">Nội dung ô bên phải của hàng 31 — một dòng mô tả đủ dài để chiếm trọn bề ngang cột và đôi khi xuống dòng thứ hai.</w:t>
            </w:r>
          </w:p>
        </w:tc>
      </w:tr>
      <w:tr>
        <w:tc>
          <w:tcPr/>
          <w:p>
            <w:r>
              <w:t xml:space="preserve">Hàng 32</w:t>
            </w:r>
          </w:p>
        </w:tc>
        <w:tc>
          <w:tcPr/>
          <w:p>
            <w:r>
              <w:t xml:space="preserve">Nội dung ô bên phải của hàng 32 — một dòng mô tả đủ dài để chiếm trọn bề ngang cột và đôi khi xuống dòng thứ hai.</w:t>
            </w:r>
          </w:p>
        </w:tc>
      </w:tr>
      <w:tr>
        <w:tc>
          <w:tcPr/>
          <w:p>
            <w:r>
              <w:t xml:space="preserve">Hàng 33</w:t>
            </w:r>
          </w:p>
        </w:tc>
        <w:tc>
          <w:tcPr/>
          <w:p>
            <w:r>
              <w:t xml:space="preserve">Nội dung ô bên phải của hàng 33 — một dòng mô tả đủ dài để chiếm trọn bề ngang cột và đôi khi xuống dòng thứ hai.</w:t>
            </w:r>
          </w:p>
        </w:tc>
      </w:tr>
      <w:tr>
        <w:tc>
          <w:tcPr/>
          <w:p>
            <w:r>
              <w:t xml:space="preserve">Hàng 34</w:t>
            </w:r>
          </w:p>
        </w:tc>
        <w:tc>
          <w:tcPr/>
          <w:p>
            <w:r>
              <w:t xml:space="preserve">Nội dung ô bên phải của hàng 34 — một dòng mô tả đủ dài để chiếm trọn bề ngang cột và đôi khi xuống dòng thứ hai.</w:t>
            </w:r>
          </w:p>
        </w:tc>
      </w:tr>
      <w:tr>
        <w:tc>
          <w:tcPr/>
          <w:p>
            <w:r>
              <w:t xml:space="preserve">Hàng 35</w:t>
            </w:r>
          </w:p>
        </w:tc>
        <w:tc>
          <w:tcPr/>
          <w:p>
            <w:r>
              <w:t xml:space="preserve">Nội dung ô bên phải của hàng 35 — một dòng mô tả đủ dài để chiếm trọn bề ngang cột và đôi khi xuống dòng thứ hai.</w:t>
            </w:r>
          </w:p>
        </w:tc>
      </w:tr>
      <w:tr>
        <w:tc>
          <w:tcPr/>
          <w:p>
            <w:r>
              <w:t xml:space="preserve">Hàng 36</w:t>
            </w:r>
          </w:p>
        </w:tc>
        <w:tc>
          <w:tcPr/>
          <w:p>
            <w:r>
              <w:t xml:space="preserve">Nội dung ô bên phải của hàng 36 — một dòng mô tả đủ dài để chiếm trọn bề ngang cột và đôi khi xuống dòng thứ hai.</w:t>
            </w:r>
          </w:p>
        </w:tc>
      </w:tr>
    </w:tbl>
    <w:p>
      <w:pPr>
        <w:jc w:val="left"/>
      </w:pPr>
      <w:r>
        <w:rPr>
          <w:b/>
          <w:sz w:val="28"/>
        </w:rPr>
        <w:t xml:space="preserve">12. Hàng cao hơn một trang</w:t>
      </w:r>
    </w:p>
    <w:p>
      <w:r>
        <w:t xml:space="preserve">Hàng thứ nhất của bảng sau chứa 60 đoạn — cao hơn cả một trang, buộc phải tách giữa hàng.</w:t>
      </w:r>
    </w:p>
    <w:tbl>
      <w:tblPr>
        <w:tblBorders>
          <w:top w:val="single"/>
          <w:bottom w:val="single"/>
          <w:left w:val="single"/>
          <w:right w:val="single"/>
          <w:insideH w:val="single"/>
          <w:insideV w:val="single"/>
        </w:tblBorders>
      </w:tblPr>
      <w:tblGrid>
        <w:gridCol w:w="2400"/>
        <w:gridCol w:w="6630"/>
      </w:tblGrid>
      <w:tr>
        <w:tc>
          <w:tcPr/>
          <w:p>
            <w:r>
              <w:rPr>
                <w:b/>
              </w:rPr>
              <w:t xml:space="preserve">Nhãn của hàng siêu cao</w:t>
            </w:r>
          </w:p>
        </w:tc>
        <w:tc>
          <w:tcPr/>
          <w:p>
            <w:r>
              <w:t xml:space="preserve">Dòng 1 trong ô siêu cao — nội dung lấp đầy để tổng chiều cao của hàng vượt quá một trang.</w:t>
            </w:r>
          </w:p>
          <w:p>
            <w:r>
              <w:t xml:space="preserve">Dòng 2 trong ô siêu cao — nội dung lấp đầy để tổng chiều cao của hàng vượt quá một trang.</w:t>
            </w:r>
          </w:p>
          <w:p>
            <w:r>
              <w:t xml:space="preserve">Dòng 3 trong ô siêu cao — nội dung lấp đầy để tổng chiều cao của hàng vượt quá một trang.</w:t>
            </w:r>
          </w:p>
          <w:p>
            <w:r>
              <w:t xml:space="preserve">Dòng 4 trong ô siêu cao — nội dung lấp đầy để tổng chiều cao của hàng vượt quá một trang.</w:t>
            </w:r>
          </w:p>
          <w:p>
            <w:r>
              <w:t xml:space="preserve">Dòng 5 trong ô siêu cao — nội dung lấp đầy để tổng chiều cao của hàng vượt quá một trang.</w:t>
            </w:r>
          </w:p>
          <w:p>
            <w:r>
              <w:t xml:space="preserve">Dòng 6 trong ô siêu cao — nội dung lấp đầy để tổng chiều cao của hàng vượt quá một trang.</w:t>
            </w:r>
          </w:p>
          <w:p>
            <w:r>
              <w:t xml:space="preserve">Dòng 7 trong ô siêu cao — nội dung lấp đầy để tổng chiều cao của hàng vượt quá một trang.</w:t>
            </w:r>
          </w:p>
          <w:p>
            <w:r>
              <w:t xml:space="preserve">Dòng 8 trong ô siêu cao — nội dung lấp đầy để tổng chiều cao của hàng vượt quá một trang.</w:t>
            </w:r>
          </w:p>
          <w:p>
            <w:r>
              <w:t xml:space="preserve">Dòng 9 trong ô siêu cao — nội dung lấp đầy để tổng chiều cao của hàng vượt quá một trang.</w:t>
            </w:r>
          </w:p>
          <w:p>
            <w:r>
              <w:t xml:space="preserve">Dòng 10 trong ô siêu cao — nội dung lấp đầy để tổng chiều cao của hàng vượt quá một trang.</w:t>
            </w:r>
          </w:p>
          <w:p>
            <w:r>
              <w:t xml:space="preserve">Dòng 11 trong ô siêu cao — nội dung lấp đầy để tổng chiều cao của hàng vượt quá một trang.</w:t>
            </w:r>
          </w:p>
          <w:p>
            <w:r>
              <w:t xml:space="preserve">Dòng 12 trong ô siêu cao — nội dung lấp đầy để tổng chiều cao của hàng vượt quá một trang.</w:t>
            </w:r>
          </w:p>
          <w:p>
            <w:r>
              <w:t xml:space="preserve">Dòng 13 trong ô siêu cao — nội dung lấp đầy để tổng chiều cao của hàng vượt quá một trang.</w:t>
            </w:r>
          </w:p>
          <w:p>
            <w:r>
              <w:t xml:space="preserve">Dòng 14 trong ô siêu cao — nội dung lấp đầy để tổng chiều cao của hàng vượt quá một trang.</w:t>
            </w:r>
          </w:p>
          <w:p>
            <w:r>
              <w:t xml:space="preserve">Dòng 15 trong ô siêu cao — nội dung lấp đầy để tổng chiều cao của hàng vượt quá một trang.</w:t>
            </w:r>
          </w:p>
          <w:p>
            <w:r>
              <w:t xml:space="preserve">Dòng 16 trong ô siêu cao — nội dung lấp đầy để tổng chiều cao của hàng vượt quá một trang.</w:t>
            </w:r>
          </w:p>
          <w:p>
            <w:r>
              <w:t xml:space="preserve">Dòng 17 trong ô siêu cao — nội dung lấp đầy để tổng chiều cao của hàng vượt quá một trang.</w:t>
            </w:r>
          </w:p>
          <w:p>
            <w:r>
              <w:t xml:space="preserve">Dòng 18 trong ô siêu cao — nội dung lấp đầy để tổng chiều cao của hàng vượt quá một trang.</w:t>
            </w:r>
          </w:p>
          <w:p>
            <w:r>
              <w:t xml:space="preserve">Dòng 19 trong ô siêu cao — nội dung lấp đầy để tổng chiều cao của hàng vượt quá một trang.</w:t>
            </w:r>
          </w:p>
          <w:p>
            <w:r>
              <w:t xml:space="preserve">Dòng 20 trong ô siêu cao — nội dung lấp đầy để tổng chiều cao của hàng vượt quá một trang.</w:t>
            </w:r>
          </w:p>
          <w:p>
            <w:r>
              <w:t xml:space="preserve">Dòng 21 trong ô siêu cao — nội dung lấp đầy để tổng chiều cao của hàng vượt quá một trang.</w:t>
            </w:r>
          </w:p>
          <w:p>
            <w:r>
              <w:t xml:space="preserve">Dòng 22 trong ô siêu cao — nội dung lấp đầy để tổng chiều cao của hàng vượt quá một trang.</w:t>
            </w:r>
          </w:p>
          <w:p>
            <w:r>
              <w:t xml:space="preserve">Dòng 23 trong ô siêu cao — nội dung lấp đầy để tổng chiều cao của hàng vượt quá một trang.</w:t>
            </w:r>
          </w:p>
          <w:p>
            <w:r>
              <w:t xml:space="preserve">Dòng 24 trong ô siêu cao — nội dung lấp đầy để tổng chiều cao của hàng vượt quá một trang.</w:t>
            </w:r>
          </w:p>
          <w:p>
            <w:r>
              <w:t xml:space="preserve">Dòng 25 trong ô siêu cao — nội dung lấp đầy để tổng chiều cao của hàng vượt quá một trang.</w:t>
            </w:r>
          </w:p>
          <w:p>
            <w:r>
              <w:t xml:space="preserve">Dòng 26 trong ô siêu cao — nội dung lấp đầy để tổng chiều cao của hàng vượt quá một trang.</w:t>
            </w:r>
          </w:p>
          <w:p>
            <w:r>
              <w:t xml:space="preserve">Dòng 27 trong ô siêu cao — nội dung lấp đầy để tổng chiều cao của hàng vượt quá một trang.</w:t>
            </w:r>
          </w:p>
          <w:p>
            <w:r>
              <w:t xml:space="preserve">Dòng 28 trong ô siêu cao — nội dung lấp đầy để tổng chiều cao của hàng vượt quá một trang.</w:t>
            </w:r>
          </w:p>
          <w:p>
            <w:r>
              <w:t xml:space="preserve">Dòng 29 trong ô siêu cao — nội dung lấp đầy để tổng chiều cao của hàng vượt quá một trang.</w:t>
            </w:r>
          </w:p>
          <w:p>
            <w:r>
              <w:t xml:space="preserve">Dòng 30 trong ô siêu cao — nội dung lấp đầy để tổng chiều cao của hàng vượt quá một trang.</w:t>
            </w:r>
          </w:p>
          <w:p>
            <w:r>
              <w:t xml:space="preserve">Dòng 31 trong ô siêu cao — nội dung lấp đầy để tổng chiều cao của hàng vượt quá một trang.</w:t>
            </w:r>
          </w:p>
          <w:p>
            <w:r>
              <w:t xml:space="preserve">Dòng 32 trong ô siêu cao — nội dung lấp đầy để tổng chiều cao của hàng vượt quá một trang.</w:t>
            </w:r>
          </w:p>
          <w:p>
            <w:r>
              <w:t xml:space="preserve">Dòng 33 trong ô siêu cao — nội dung lấp đầy để tổng chiều cao của hàng vượt quá một trang.</w:t>
            </w:r>
          </w:p>
          <w:p>
            <w:r>
              <w:t xml:space="preserve">Dòng 34 trong ô siêu cao — nội dung lấp đầy để tổng chiều cao của hàng vượt quá một trang.</w:t>
            </w:r>
          </w:p>
          <w:p>
            <w:r>
              <w:t xml:space="preserve">Dòng 35 trong ô siêu cao — nội dung lấp đầy để tổng chiều cao của hàng vượt quá một trang.</w:t>
            </w:r>
          </w:p>
          <w:p>
            <w:r>
              <w:t xml:space="preserve">Dòng 36 trong ô siêu cao — nội dung lấp đầy để tổng chiều cao của hàng vượt quá một trang.</w:t>
            </w:r>
          </w:p>
          <w:p>
            <w:r>
              <w:t xml:space="preserve">Dòng 37 trong ô siêu cao — nội dung lấp đầy để tổng chiều cao của hàng vượt quá một trang.</w:t>
            </w:r>
          </w:p>
          <w:p>
            <w:r>
              <w:t xml:space="preserve">Dòng 38 trong ô siêu cao — nội dung lấp đầy để tổng chiều cao của hàng vượt quá một trang.</w:t>
            </w:r>
          </w:p>
          <w:p>
            <w:r>
              <w:t xml:space="preserve">Dòng 39 trong ô siêu cao — nội dung lấp đầy để tổng chiều cao của hàng vượt quá một trang.</w:t>
            </w:r>
          </w:p>
          <w:p>
            <w:r>
              <w:t xml:space="preserve">Dòng 40 trong ô siêu cao — nội dung lấp đầy để tổng chiều cao của hàng vượt quá một trang.</w:t>
            </w:r>
          </w:p>
          <w:p>
            <w:r>
              <w:t xml:space="preserve">Dòng 41 trong ô siêu cao — nội dung lấp đầy để tổng chiều cao của hàng vượt quá một trang.</w:t>
            </w:r>
          </w:p>
          <w:p>
            <w:r>
              <w:t xml:space="preserve">Dòng 42 trong ô siêu cao — nội dung lấp đầy để tổng chiều cao của hàng vượt quá một trang.</w:t>
            </w:r>
          </w:p>
          <w:p>
            <w:r>
              <w:t xml:space="preserve">Dòng 43 trong ô siêu cao — nội dung lấp đầy để tổng chiều cao của hàng vượt quá một trang.</w:t>
            </w:r>
          </w:p>
          <w:p>
            <w:r>
              <w:t xml:space="preserve">Dòng 44 trong ô siêu cao — nội dung lấp đầy để tổng chiều cao của hàng vượt quá một trang.</w:t>
            </w:r>
          </w:p>
          <w:p>
            <w:r>
              <w:t xml:space="preserve">Dòng 45 trong ô siêu cao — nội dung lấp đầy để tổng chiều cao của hàng vượt quá một trang.</w:t>
            </w:r>
          </w:p>
          <w:p>
            <w:r>
              <w:t xml:space="preserve">Dòng 46 trong ô siêu cao — nội dung lấp đầy để tổng chiều cao của hàng vượt quá một trang.</w:t>
            </w:r>
          </w:p>
          <w:p>
            <w:r>
              <w:t xml:space="preserve">Dòng 47 trong ô siêu cao — nội dung lấp đầy để tổng chiều cao của hàng vượt quá một trang.</w:t>
            </w:r>
          </w:p>
          <w:p>
            <w:r>
              <w:t xml:space="preserve">Dòng 48 trong ô siêu cao — nội dung lấp đầy để tổng chiều cao của hàng vượt quá một trang.</w:t>
            </w:r>
          </w:p>
          <w:p>
            <w:r>
              <w:t xml:space="preserve">Dòng 49 trong ô siêu cao — nội dung lấp đầy để tổng chiều cao của hàng vượt quá một trang.</w:t>
            </w:r>
          </w:p>
          <w:p>
            <w:r>
              <w:t xml:space="preserve">Dòng 50 trong ô siêu cao — nội dung lấp đầy để tổng chiều cao của hàng vượt quá một trang.</w:t>
            </w:r>
          </w:p>
          <w:p>
            <w:r>
              <w:t xml:space="preserve">Dòng 51 trong ô siêu cao — nội dung lấp đầy để tổng chiều cao của hàng vượt quá một trang.</w:t>
            </w:r>
          </w:p>
          <w:p>
            <w:r>
              <w:t xml:space="preserve">Dòng 52 trong ô siêu cao — nội dung lấp đầy để tổng chiều cao của hàng vượt quá một trang.</w:t>
            </w:r>
          </w:p>
          <w:p>
            <w:r>
              <w:t xml:space="preserve">Dòng 53 trong ô siêu cao — nội dung lấp đầy để tổng chiều cao của hàng vượt quá một trang.</w:t>
            </w:r>
          </w:p>
          <w:p>
            <w:r>
              <w:t xml:space="preserve">Dòng 54 trong ô siêu cao — nội dung lấp đầy để tổng chiều cao của hàng vượt quá một trang.</w:t>
            </w:r>
          </w:p>
          <w:p>
            <w:r>
              <w:t xml:space="preserve">Dòng 55 trong ô siêu cao — nội dung lấp đầy để tổng chiều cao của hàng vượt quá một trang.</w:t>
            </w:r>
          </w:p>
          <w:p>
            <w:r>
              <w:t xml:space="preserve">Dòng 56 trong ô siêu cao — nội dung lấp đầy để tổng chiều cao của hàng vượt quá một trang.</w:t>
            </w:r>
          </w:p>
          <w:p>
            <w:r>
              <w:t xml:space="preserve">Dòng 57 trong ô siêu cao — nội dung lấp đầy để tổng chiều cao của hàng vượt quá một trang.</w:t>
            </w:r>
          </w:p>
          <w:p>
            <w:r>
              <w:t xml:space="preserve">Dòng 58 trong ô siêu cao — nội dung lấp đầy để tổng chiều cao của hàng vượt quá một trang.</w:t>
            </w:r>
          </w:p>
          <w:p>
            <w:r>
              <w:t xml:space="preserve">Dòng 59 trong ô siêu cao — nội dung lấp đầy để tổng chiều cao của hàng vượt quá một trang.</w:t>
            </w:r>
          </w:p>
          <w:p>
            <w:r>
              <w:t xml:space="preserve">Dòng 60 trong ô siêu cao — nội dung lấp đầy để tổng chiều cao của hàng vượt quá một trang.</w:t>
            </w:r>
          </w:p>
        </w:tc>
      </w:tr>
      <w:tr>
        <w:tc>
          <w:tcPr/>
          <w:p>
            <w:r>
              <w:t xml:space="preserve">Hàng sau</w:t>
            </w:r>
          </w:p>
        </w:tc>
        <w:tc>
          <w:tcPr/>
          <w:p>
            <w:r>
              <w:t xml:space="preserve">Hàng bình thường ngay sau hàng siêu cao.</w:t>
            </w:r>
          </w:p>
        </w:tc>
      </w:tr>
    </w:tbl>
    <w:p>
      <w:pPr>
        <w:jc w:val="left"/>
      </w:pPr>
      <w:r>
        <w:rPr>
          <w:b/>
          <w:sz w:val="28"/>
        </w:rPr>
        <w:t xml:space="preserve">13. Bố cục nhiều cột (w:cols)</w:t>
      </w:r>
    </w:p>
    <w:p>
      <w:pPr>
        <w:jc w:val="both"/>
        <w:sectPr>
          <w:type w:val="continuous"/>
          <w:cols w:num="1"/>
        </w:sectPr>
      </w:pPr>
      <w:r>
        <w:t xml:space="preserve">Đoạn giới thiệu trình bày một cột. </w:t>
      </w:r>
      <w:commentRangeStart w:id="1"/>
      <w:r>
        <w:t xml:space="preserve">Phần thân ngay bên dưới chuyển sang HAI cột bằng một section break liên tục</w:t>
      </w:r>
      <w:commentRangeEnd w:id="1"/>
      <w:r>
        <w:commentReference w:id="1"/>
      </w:r>
      <w:r>
        <w:t xml:space="preserve"> (w:type=continuous): văn bản rót đầy cột trái rồi mới sang cột phải, đúng kiểu bản tin / tạp chí.</w:t>
      </w:r>
    </w:p>
    <w:p>
      <w:pPr>
        <w:jc w:val="both"/>
      </w:pPr>
      <w:r>
        <w:t xml:space="preserve">(1) 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(2) Duis aute irure dolor in reprehenderit in voluptate velit esse cillum dolore eu fugiat nulla pariatur. Excepteur sint occaecat cupidatat non proident, sunt in culpa qui officia deserunt mollit anim id est laborum.</w:t>
      </w:r>
    </w:p>
    <w:p>
      <w:pPr>
        <w:jc w:val="both"/>
      </w:pPr>
      <w:r>
        <w:t xml:space="preserve">(3) Sed ut perspiciatis unde omnis iste natus error sit voluptatem accusantium doloremque laudantium, totam rem aperiam, eaque ipsa quae ab illo inventore veritatis et quasi architecto beatae vitae dicta sunt explicabo.</w:t>
      </w:r>
    </w:p>
    <w:p>
      <w:pPr>
        <w:jc w:val="both"/>
      </w:pPr>
      <w:r>
        <w:t xml:space="preserve">(4) Nemo enim ipsam voluptatem quia voluptas sit aspernatur aut odit aut fugit, sed quia consequuntur magni dolores eos qui ratione voluptatem sequi nesciunt, neque porro quisquam est qui dolorem ipsum.</w:t>
      </w:r>
    </w:p>
    <w:p>
      <w:pPr>
        <w:jc w:val="both"/>
      </w:pPr>
      <w:r>
        <w:t xml:space="preserve">(5) 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(6) 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(7) Lorem ipsum dolor sit amet, consectetur adipiscing elit, sed do eiusmod tempor incididunt ut labore et dolore magna aliqua. Ut enim ad minim veniam, quis nostrud exercitation ullamco laboris nisi ut aliquip ex ea commodo consequat.</w:t>
      </w:r>
    </w:p>
    <w:p>
      <w:pPr>
        <w:jc w:val="both"/>
        <w:sectPr>
          <w:type w:val="continuous"/>
          <w:cols w:num="2" w:space="425"/>
        </w:sectPr>
      </w:pPr>
      <w:r>
        <w:t xml:space="preserve">(8) Nemo enim ipsam voluptatem quia voluptas sit aspernatur aut odit aut fugit, sed quia consequuntur magni dolores eos qui ratione voluptatem sequi nesciunt, neque porro quisquam est qui dolorem ipsum. 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Trở lại bố cục một cột sau section break thứ hai — phần kết của tài liệu chiếm trọn bề ngang trang trở lại.</w:t>
      </w:r>
    </w:p>
    <w:p>
      <w:pPr>
        <w:jc w:val="center"/>
      </w:pPr>
      <w:r>
        <w:rPr>
          <w:i/>
        </w:rPr>
        <w:t xml:space="preserve">— Hết tài liệu mẫu —</w:t>
      </w:r>
    </w:p>
    <w:sectPr>
      <w:headerReference w:type="default" r:id="rId20"/>
      <w:footerReference w:type="default" r:id="rId21"/>
      <w:headerReference w:type="first" r:id="rId23"/>
      <w:headerReference w:type="even" r:id="rId24"/>
      <w:titlePg/>
      <w:type w:val="continuous"/>
      <w:cols w:num="1"/>
    </w:sectPr>
  </w:body>
</w:document>
</file>

<file path=word/comments.xml><?xml version="1.0" encoding="utf-8"?>
<w:comments xmlns:w="http://schemas.openxmlformats.org/wordprocessingml/2006/main">
  <w:comment w:id="0" w:author="Phương Minh" w:date="2026-06-17T09:00:00Z" w:initials="PM">
    <w:p>
      <w:r>
        <w:t>Cụm "màu đỏ" được tô comment — bấm vào đây để chọn vùng tương ứng trên canvas.</w:t>
      </w:r>
    </w:p>
  </w:comment>
  <w:comment w:id="1" w:author="Reviewer" w:date="2026-06-17T10:30:00Z" w:initials="RV">
    <w:p>
      <w:r>
        <w:t>Comment vắt qua nhiều run trong phần bố cục nhiều cột.</w:t>
      </w:r>
    </w:p>
  </w:comment>
  <w:comment w:id="2" w:author="Minh Lê" w:date="2026-06-17T09:05:00Z" w:initials="ML">
    <w:p>
      <w:r>
        <w:t>Comment trên "đậm nghiêng" — neo sát các comment kế bên để test chống đè.</w:t>
      </w:r>
    </w:p>
  </w:comment>
  <w:comment w:id="3" w:author="Reviewer" w:date="2026-06-17T09:10:00Z" w:initials="RV">
    <w:p>
      <w:r>
        <w:t>Comment trên "màu xanh" cùng dòng.</w:t>
      </w:r>
    </w:p>
  </w:comment>
  <w:comment w:id="4" w:author="Phương Minh" w:date="2026-06-17T09:15:00Z" w:initials="PM">
    <w:p>
      <w:r>
        <w:t>Comment trên "gạch chân" — cụm này dùng để kiểm tra active-snap khi chọn từng card/bong bóng.</w:t>
      </w:r>
    </w:p>
  </w:comment>
</w:comments>
</file>

<file path=word/footer1.xml><?xml version="1.0" encoding="utf-8"?>
<w:ftr xmlns:w="http://schemas.openxmlformats.org/wordprocessingml/2006/main">
  <w:p>
    <w:pPr>
      <w:jc w:val="center"/>
    </w:pPr>
    <w:r>
      <w:rPr>
        <w:i/>
        <w:color w:val="6B6B70"/>
      </w:rPr>
      <w:t xml:space="preserve">Trang </w:t>
    </w:r>
    <w:r>
      <w:fldChar w:fldCharType="begin"/>
    </w:r>
    <w:r>
      <w:instrText xml:space="preserve"> PAGE </w:instrText>
    </w:r>
    <w:r>
      <w:fldChar w:fldCharType="separate"/>
    </w:r>
    <w:r>
      <w:rPr>
        <w:i/>
        <w:color w:val="6B6B70"/>
      </w:rPr>
      <w:t>1</w:t>
    </w:r>
    <w:r>
      <w:fldChar w:fldCharType="end"/>
    </w:r>
    <w:r>
      <w:rPr>
        <w:i/>
        <w:color w:val="6B6B70"/>
      </w:rPr>
      <w:t xml:space="preserve"> / </w:t>
    </w:r>
    <w:fldSimple w:instr=" NUMPAGES ">
      <w:r>
        <w:rPr>
          <w:i/>
          <w:color w:val="6B6B70"/>
        </w:rPr>
        <w:t>7</w:t>
      </w:r>
    </w:fldSimple>
    <w:r>
      <w:rPr>
        <w:i/>
        <w:color w:val="6B6B70"/>
      </w:rPr>
      <w:t xml:space="preserve"> — bapbong playground</w:t>
    </w:r>
  </w:p>
</w:ftr>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r>
        <w:t xml:space="preserve">Chú thích chân trang đầu tiên — bản thân ghi chú được layout ở đáy của chính trang chứa tham chiếu, với cỡ chữ nhỏ hơn phần thân.</w:t>
      </w:r>
    </w:p>
  </w:footnote>
  <w:footnote w:id="2">
    <w:p>
      <w:r>
        <w:t xml:space="preserve">Chú thích thứ hai nằm ở một trang khác, chứng minh mỗi trang tự gom ghi chú riêng phía trên footer.</w:t>
      </w:r>
    </w:p>
  </w:footnote>
  <w:footnote w:id="3">
    <w:p>
      <w:r>
        <w:t xml:space="preserve">Chú thích này được tham chiếu từ bên trong một ô bảng — vẫn được gom xuống đáy trang chứa bảng.</w:t>
      </w:r>
    </w:p>
  </w:footnote>
</w:footnotes>
</file>

<file path=word/header1.xml><?xml version="1.0" encoding="utf-8"?>
<w:hdr xmlns:w="http://schemas.openxmlformats.org/wordprocessingml/2006/main">
  <w:p>
    <w:pPr>
      <w:jc w:val="right"/>
    </w:pPr>
    <w:r>
      <w:rPr>
        <w:i/>
        <w:color w:val="6B6B70"/>
      </w:rPr>
      <w:t xml:space="preserve">bapbong sample — trang lẻ</w:t>
    </w:r>
  </w:p>
</w:hdr>
</file>

<file path=word/header2.xml><?xml version="1.0" encoding="utf-8"?>
<w:hdr xmlns:w="http://schemas.openxmlformats.org/wordprocessingml/2006/main">
  <w:p>
    <w:pPr>
      <w:jc w:val="center"/>
    </w:pPr>
    <w:r>
      <w:rPr>
        <w:b/>
        <w:color w:val="1F6FEB"/>
      </w:rPr>
      <w:t xml:space="preserve">« TRANG BÌA — header riêng cho trang đầu »</w:t>
    </w:r>
  </w:p>
</w:hdr>
</file>

<file path=word/header3.xml><?xml version="1.0" encoding="utf-8"?>
<w:hdr xmlns:w="http://schemas.openxmlformats.org/wordprocessingml/2006/main">
  <w:p>
    <w:pPr>
      <w:jc w:val="left"/>
    </w:pPr>
    <w:r>
      <w:rPr>
        <w:i/>
        <w:color w:val="6B6B70"/>
      </w:rPr>
      <w:t xml:space="preserve">trang chẵn — bapbong sample</w:t>
    </w:r>
  </w:p>
</w:hdr>
</file>

<file path=word/numbering.xml><?xml version="1.0" encoding="utf-8"?>
<w:numbering xmlns:w="http://schemas.openxmlformats.org/wordprocessingml/2006/main">
  <w:abstractNum w:abstractNumId="0">
    <w:lvl w:ilvl="0">
      <w:pPr>
        <w:ind w:left="720" w:hanging="360"/>
      </w:pPr>
      <w:numFmt w:val="decimal"/>
      <w:lvlText w:val="%1."/>
      <w:start w:val="1"/>
    </w:lvl>
    <w:lvl w:ilvl="1">
      <w:pPr>
        <w:ind w:left="1440" w:hanging="360"/>
      </w:pPr>
      <w:numFmt w:val="lowerLetter"/>
      <w:lvlText w:val="%1.%2."/>
      <w:start w:val="1"/>
    </w:lvl>
  </w:abstractNum>
  <w:abstractNum w:abstractNumId="1">
    <w:lvl w:ilvl="0">
      <w:pPr>
        <w:ind w:left="720" w:hanging="360"/>
      </w:pPr>
      <w:numFmt w:val="bullet"/>
      <w:lvlText w:val="•"/>
    </w:lvl>
  </w:abstractNum>
  <w:num w:numId="1">
    <w:abstractNumId w:val="0"/>
  </w:num>
  <w:num w:numId="2">
    <w:abstractNumId w:val="1"/>
  </w:num>
</w:numbering>
</file>

<file path=word/settings.xml><?xml version="1.0" encoding="utf-8"?>
<w:settings xmlns:w="http://schemas.openxmlformats.org/wordprocessingml/2006/main">
  <w:evenAndOddHeaders/>
</w:settings>
</file>

<file path=word/styles.xml><?xml version="1.0" encoding="utf-8"?>
<w:styles xmlns:w="http://schemas.openxmlformats.org/wordprocessingml/2006/main">
  <w:style w:styleId="Indented">
    <w:pPr>
      <w:ind w:left="720" w:right="720"/>
    </w:pPr>
  </w:style>
  <w:style w:styleId="Quote">
    <w:basedOn w:val="Indented"/>
    <w:rPr>
      <w:i/>
      <w:color w:val="555555"/>
    </w:rPr>
  </w:style>
</w:styles>
</file>

<file path=word/_rels/document.xml.rels><?xml version="1.0"?><Relationships xmlns="http://schemas.openxmlformats.org/package/2006/relationships">
  <Relationship Id="rId7" Type="http://schemas.openxmlformats.org/officeDocument/2006/relationships/image" Target="media/image1.png"/>
  <Relationship Id="rId8" Type="http://schemas.openxmlformats.org/officeDocument/2006/relationships/image" Target="media/image2.png"/>
  <Relationship Id="rId9" Type="http://schemas.openxmlformats.org/officeDocument/2006/relationships/hyperlink" Target="https://prosemirror.net/" TargetMode="External"/>
  <Relationship Id="rId20" Type="http://schemas.openxmlformats.org/officeDocument/2006/relationships/header" Target="header1.xml"/>
  <Relationship Id="rId21" Type="http://schemas.openxmlformats.org/officeDocument/2006/relationships/footer" Target="footer1.xml"/>
  <Relationship Id="rId22" Type="http://schemas.openxmlformats.org/officeDocument/2006/relationships/footnotes" Target="footnotes.xml"/>
  <Relationship Id="rId23" Type="http://schemas.openxmlformats.org/officeDocument/2006/relationships/header" Target="header2.xml"/>
  <Relationship Id="rId24" Type="http://schemas.openxmlformats.org/officeDocument/2006/relationships/header" Target="header3.xml"/>
  <Relationship Id="rId25" Type="http://schemas.openxmlformats.org/officeDocument/2006/relationships/settings" Target="settings.xml"/>
  <Relationship Id="rId26" Type="http://schemas.openxmlformats.org/officeDocument/2006/relationships/comments" Target="comments.xml"/>
</Relationships>
</file>