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800"/>
        <w:jc w:val="center"/>
      </w:pPr>
      <w:r>
        <w:rPr>
          <w:rFonts w:ascii="Arial" w:cs="Arial" w:eastAsia="Arial" w:hAnsi="Arial"/>
          <w:b/>
          <w:bCs/>
          <w:caps/>
          <w:color w:val="B8860B"/>
          <w:spacing w:val="200"/>
          <w:sz w:val="48"/>
          <w:szCs w:val="48"/>
        </w:rPr>
        <w:t xml:space="preserve">SHADOWGRAM</w:t>
      </w:r>
    </w:p>
    <w:p>
      <w:pPr>
        <w:spacing w:after="80"/>
        <w:jc w:val="center"/>
      </w:pPr>
      <w:r>
        <w:rPr>
          <w:rFonts w:ascii="Arial" w:cs="Arial" w:eastAsia="Arial" w:hAnsi="Arial"/>
          <w:color w:val="8899AA"/>
          <w:sz w:val="24"/>
          <w:szCs w:val="24"/>
        </w:rPr>
        <w:t xml:space="preserve">Relatório de Tipo · Primeira Luz</w:t>
      </w:r>
    </w:p>
    <w:p>
      <w:pPr>
        <w:pBdr>
          <w:bottom w:val="single" w:color="B87BA8" w:sz="8"/>
        </w:pBdr>
        <w:spacing w:after="120" w:before="120"/>
      </w:pPr>
    </w:p>
    <w:p>
      <w:pPr>
        <w:spacing w:after="80" w:before="200"/>
        <w:jc w:val="center"/>
      </w:pPr>
      <w:r>
        <w:rPr>
          <w:rFonts w:ascii="Arial" w:cs="Arial" w:eastAsia="Arial" w:hAnsi="Arial"/>
          <w:b/>
          <w:bCs/>
          <w:caps/>
          <w:color w:val="B87BA8"/>
          <w:sz w:val="26"/>
          <w:szCs w:val="26"/>
        </w:rPr>
        <w:t xml:space="preserve">Fi  ·  SOUL  ·  Primeira Luz</w:t>
      </w:r>
    </w:p>
    <w:p>
      <w:pPr>
        <w:spacing w:after="60"/>
        <w:jc w:val="center"/>
      </w:pPr>
      <w:r>
        <w:rPr>
          <w:rFonts w:ascii="Arial" w:cs="Arial" w:eastAsia="Arial" w:hAnsi="Arial"/>
          <w:b/>
          <w:bCs/>
          <w:color w:val="1A2030"/>
          <w:sz w:val="52"/>
          <w:szCs w:val="52"/>
        </w:rPr>
        <w:t xml:space="preserve">A Alma</w:t>
      </w:r>
    </w:p>
    <w:p>
      <w:pPr>
        <w:spacing w:after="200"/>
        <w:jc w:val="center"/>
      </w:pPr>
      <w:r>
        <w:rPr>
          <w:rFonts w:ascii="Arial" w:cs="Arial" w:eastAsia="Arial" w:hAnsi="Arial"/>
          <w:color w:val="555555"/>
          <w:sz w:val="26"/>
          <w:szCs w:val="26"/>
        </w:rPr>
        <w:t xml:space="preserve">A profundidade que não se vende e não se cala</w:t>
      </w:r>
    </w:p>
    <w:p>
      <w:pPr>
        <w:spacing w:after="160"/>
        <w:jc w:val="center"/>
      </w:pPr>
      <w:r>
        <w:rPr>
          <w:rFonts w:ascii="Arial" w:cs="Arial" w:eastAsia="Arial" w:hAnsi="Arial"/>
          <w:sz w:val="72"/>
          <w:szCs w:val="72"/>
        </w:rPr>
        <w:t xml:space="preserve">Borboleta 🦋</w:t>
      </w:r>
    </w:p>
    <w:tbl>
      <w:tblPr>
        <w:tblW w:type="dxa" w:w="814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73"/>
        <w:gridCol w:w="4073"/>
      </w:tblGrid>
      <w:tr>
        <w:tc>
          <w:tcPr>
            <w:tcW w:type="dxa" w:w="407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0E8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aps/>
                <w:color w:val="8899AA"/>
                <w:sz w:val="16"/>
                <w:szCs w:val="16"/>
              </w:rPr>
              <w:t xml:space="preserve">FUNÇÃO DOMINANTE</w:t>
            </w:r>
          </w:p>
          <w:p>
            <w:r>
              <w:rPr>
                <w:rFonts w:ascii="Arial" w:cs="Arial" w:eastAsia="Arial" w:hAnsi="Arial"/>
                <w:b/>
                <w:bCs/>
                <w:color w:val="1A2030"/>
                <w:sz w:val="20"/>
                <w:szCs w:val="20"/>
              </w:rPr>
              <w:t xml:space="preserve">Fi · Sentimento Introvertido</w:t>
            </w:r>
          </w:p>
        </w:tc>
        <w:tc>
          <w:tcPr>
            <w:tcW w:type="dxa" w:w="407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2F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aps/>
                <w:color w:val="8899AA"/>
                <w:sz w:val="16"/>
                <w:szCs w:val="16"/>
              </w:rPr>
              <w:t xml:space="preserve">FUNÇÃO INFERIOR (SOMBRA)</w:t>
            </w:r>
          </w:p>
          <w:p>
            <w:r>
              <w:rPr>
                <w:rFonts w:ascii="Arial" w:cs="Arial" w:eastAsia="Arial" w:hAnsi="Arial"/>
                <w:b/>
                <w:bCs/>
                <w:color w:val="8B0000"/>
                <w:sz w:val="20"/>
                <w:szCs w:val="20"/>
              </w:rPr>
              <w:t xml:space="preserve">Te · Pensamento Extrovertido</w:t>
            </w:r>
          </w:p>
        </w:tc>
      </w:tr>
      <w:tr>
        <w:tc>
          <w:tcPr>
            <w:tcW w:type="dxa" w:w="407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aps/>
                <w:color w:val="8899AA"/>
                <w:sz w:val="16"/>
                <w:szCs w:val="16"/>
              </w:rPr>
              <w:t xml:space="preserve">MBTI® CORRESPONDENTE</w:t>
            </w:r>
          </w:p>
          <w:p>
            <w:r>
              <w:rPr>
                <w:rFonts w:ascii="Arial" w:cs="Arial" w:eastAsia="Arial" w:hAnsi="Arial"/>
                <w:b/>
                <w:bCs/>
                <w:color w:val="1A2030"/>
                <w:sz w:val="20"/>
                <w:szCs w:val="20"/>
              </w:rPr>
              <w:t xml:space="preserve">INFP · ISFP</w:t>
            </w:r>
          </w:p>
        </w:tc>
        <w:tc>
          <w:tcPr>
            <w:tcW w:type="dxa" w:w="407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aps/>
                <w:color w:val="8899AA"/>
                <w:sz w:val="16"/>
                <w:szCs w:val="16"/>
              </w:rPr>
              <w:t xml:space="preserve">ARQUÉTIPO SHADOWGRAM</w:t>
            </w:r>
          </w:p>
          <w:p>
            <w:r>
              <w:rPr>
                <w:rFonts w:ascii="Arial" w:cs="Arial" w:eastAsia="Arial" w:hAnsi="Arial"/>
                <w:b/>
                <w:bCs/>
                <w:color w:val="B87BA8"/>
                <w:sz w:val="20"/>
                <w:szCs w:val="20"/>
              </w:rPr>
              <w:t xml:space="preserve">SOUL · A Alma</w:t>
            </w:r>
          </w:p>
        </w:tc>
      </w:tr>
    </w:tbl>
    <w:p>
      <w:pPr>
        <w:spacing w:after="60" w:before="200"/>
        <w:jc w:val="center"/>
      </w:pPr>
      <w:r>
        <w:rPr>
          <w:rFonts w:ascii="Arial" w:cs="Arial" w:eastAsia="Arial" w:hAnsi="Arial"/>
          <w:color w:val="8899AA"/>
          <w:sz w:val="16"/>
          <w:szCs w:val="16"/>
        </w:rPr>
        <w:t xml:space="preserve">* MBTI® is a registered trademark of The Myers &amp; Briggs Foundation.</w:t>
      </w:r>
    </w:p>
    <w:p>
      <w:pPr>
        <w:spacing w:after="400"/>
        <w:jc w:val="center"/>
      </w:pPr>
      <w:r>
        <w:rPr>
          <w:rFonts w:ascii="Arial" w:cs="Arial" w:eastAsia="Arial" w:hAnsi="Arial"/>
          <w:color w:val="8899AA"/>
          <w:sz w:val="16"/>
          <w:szCs w:val="16"/>
        </w:rPr>
        <w:t xml:space="preserve">Shadowgram é um framework independente, sem vínculo com a fundação.</w:t>
      </w:r>
    </w:p>
    <w:p>
      <w:r>
        <w:br w:type="page"/>
      </w:r>
    </w:p>
    <w:p>
      <w:pPr>
        <w:spacing w:after="80" w:before="280"/>
      </w:pPr>
      <w:r>
        <w:rPr>
          <w:rFonts w:ascii="Arial" w:cs="Arial" w:eastAsia="Arial" w:hAnsi="Arial"/>
          <w:b/>
          <w:bCs/>
          <w:caps/>
          <w:color w:val="8899AA"/>
          <w:sz w:val="18"/>
          <w:szCs w:val="18"/>
        </w:rPr>
        <w:t xml:space="preserve">PARTE 1 · PARA VOCÊ, Alma</w:t>
      </w:r>
    </w:p>
    <w:p>
      <w:pPr>
        <w:pBdr>
          <w:bottom w:val="single" w:color="B87BA8" w:sz="8"/>
        </w:pBdr>
        <w:spacing w:after="120" w:before="120"/>
      </w:pPr>
    </w:p>
    <w:p>
      <w:pPr>
        <w:spacing w:after="200" w:before="120"/>
      </w:pPr>
      <w:r>
        <w:rPr>
          <w:rFonts w:ascii="Arial" w:cs="Arial" w:eastAsia="Arial" w:hAnsi="Arial"/>
          <w:b w:val="false"/>
          <w:bCs w:val="false"/>
          <w:color w:val="333333"/>
          <w:sz w:val="24"/>
          <w:szCs w:val="24"/>
        </w:rPr>
        <w:t xml:space="preserve">Para você, alma — este relatório não é uma classificação. É um espelho. O Shadowgram revela o clima que flui dentro de você: a dança entre sua luz Fi e sua sombra Te.</w:t>
      </w:r>
    </w:p>
    <w:p>
      <w:pPr>
        <w:spacing w:after="80" w:before="280"/>
      </w:pPr>
      <w:r>
        <w:rPr>
          <w:rFonts w:ascii="Arial" w:cs="Arial" w:eastAsia="Arial" w:hAnsi="Arial"/>
          <w:b/>
          <w:bCs/>
          <w:caps/>
          <w:color w:val="8899AA"/>
          <w:sz w:val="18"/>
          <w:szCs w:val="18"/>
        </w:rPr>
        <w:t xml:space="preserve">PARTE 2 · SUA LUZ — OS PRESENTES DE Fi</w:t>
      </w:r>
    </w:p>
    <w:p>
      <w:pPr>
        <w:pBdr>
          <w:bottom w:val="single" w:color="B8860B" w:sz="8"/>
        </w:pBdr>
        <w:spacing w:after="120" w:before="120"/>
      </w:pPr>
    </w:p>
    <w:p>
      <w:pPr>
        <w:spacing w:after="160" w:before="80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</w:rPr>
        <w:t xml:space="preserve">Estas são as qualidades que emergem quando sua função dominante opera de forma saudável. Leia e reconheça: "Isso sou eu."</w:t>
      </w:r>
    </w:p>
    <w:tbl>
      <w:tblPr>
        <w:tblW w:type="dxa" w:w="974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  <w:tblCellMar>
          <w:top w:type="dxa" w:w="80"/>
          <w:bottom w:type="dxa" w:w="80"/>
        </w:tblCellMar>
      </w:tblPr>
      <w:tblGrid>
        <w:gridCol w:w="600"/>
        <w:gridCol w:w="9146"/>
      </w:tblGrid>
      <w:tr>
        <w:tc>
          <w:tcPr>
            <w:tcW w:type="dxa" w:w="600"/>
            <w:tcBorders>
              <w:top w:val="none"/>
              <w:left w:val="none"/>
              <w:bottom w:val="none"/>
              <w:right w:val="none"/>
            </w:tcBorders>
            <w:shd w:fill="B87BA8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1</w:t>
            </w:r>
          </w:p>
        </w:tc>
        <w:tc>
          <w:tcPr>
            <w:tcW w:type="dxa" w:w="9146"/>
            <w:tcBorders>
              <w:top w:val="none"/>
              <w:left w:val="none"/>
              <w:bottom w:val="none"/>
              <w:right w:val="none"/>
            </w:tcBorders>
            <w:shd w:fill="F5F0E8" w:val="clear"/>
            <w:tcMar>
              <w:top w:type="dxa" w:w="100"/>
              <w:left w:type="dxa" w:w="180"/>
              <w:bottom w:type="dxa" w:w="100"/>
              <w:right w:type="dxa" w:w="16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A2030"/>
                <w:sz w:val="22"/>
                <w:szCs w:val="22"/>
              </w:rPr>
              <w:t xml:space="preserve">Bússola de valores</w:t>
            </w:r>
          </w:p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Você carrega uma bússola interna que não se dobra sob pressão. Sua integridade não é rigidez — é fidelidade ao que você sabe que é verdadeiro.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74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  <w:tblCellMar>
          <w:top w:type="dxa" w:w="80"/>
          <w:bottom w:type="dxa" w:w="80"/>
        </w:tblCellMar>
      </w:tblPr>
      <w:tblGrid>
        <w:gridCol w:w="600"/>
        <w:gridCol w:w="9146"/>
      </w:tblGrid>
      <w:tr>
        <w:tc>
          <w:tcPr>
            <w:tcW w:type="dxa" w:w="600"/>
            <w:tcBorders>
              <w:top w:val="none"/>
              <w:left w:val="none"/>
              <w:bottom w:val="none"/>
              <w:right w:val="none"/>
            </w:tcBorders>
            <w:shd w:fill="B87BA8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2</w:t>
            </w:r>
          </w:p>
        </w:tc>
        <w:tc>
          <w:tcPr>
            <w:tcW w:type="dxa" w:w="9146"/>
            <w:tcBorders>
              <w:top w:val="none"/>
              <w:left w:val="none"/>
              <w:bottom w:val="none"/>
              <w:right w:val="none"/>
            </w:tcBorders>
            <w:shd w:fill="F5F0E8" w:val="clear"/>
            <w:tcMar>
              <w:top w:type="dxa" w:w="100"/>
              <w:left w:type="dxa" w:w="180"/>
              <w:bottom w:type="dxa" w:w="100"/>
              <w:right w:type="dxa" w:w="16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A2030"/>
                <w:sz w:val="22"/>
                <w:szCs w:val="22"/>
              </w:rPr>
              <w:t xml:space="preserve">Autenticidade profunda</w:t>
            </w:r>
          </w:p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Você não performa. Você é. Essa presença genuína toca as pessoas de um jeito que poucos conseguem — mesmo sem palavras.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74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  <w:tblCellMar>
          <w:top w:type="dxa" w:w="80"/>
          <w:bottom w:type="dxa" w:w="80"/>
        </w:tblCellMar>
      </w:tblPr>
      <w:tblGrid>
        <w:gridCol w:w="600"/>
        <w:gridCol w:w="9146"/>
      </w:tblGrid>
      <w:tr>
        <w:tc>
          <w:tcPr>
            <w:tcW w:type="dxa" w:w="600"/>
            <w:tcBorders>
              <w:top w:val="none"/>
              <w:left w:val="none"/>
              <w:bottom w:val="none"/>
              <w:right w:val="none"/>
            </w:tcBorders>
            <w:shd w:fill="B87BA8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3</w:t>
            </w:r>
          </w:p>
        </w:tc>
        <w:tc>
          <w:tcPr>
            <w:tcW w:type="dxa" w:w="9146"/>
            <w:tcBorders>
              <w:top w:val="none"/>
              <w:left w:val="none"/>
              <w:bottom w:val="none"/>
              <w:right w:val="none"/>
            </w:tcBorders>
            <w:shd w:fill="F5F0E8" w:val="clear"/>
            <w:tcMar>
              <w:top w:type="dxa" w:w="100"/>
              <w:left w:type="dxa" w:w="180"/>
              <w:bottom w:type="dxa" w:w="100"/>
              <w:right w:type="dxa" w:w="16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A2030"/>
                <w:sz w:val="22"/>
                <w:szCs w:val="22"/>
              </w:rPr>
              <w:t xml:space="preserve">Empatia individualizada</w:t>
            </w:r>
          </w:p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Você não apenas sente o que o outro sente — você sente o que é único naquele ser. Isso cria conexões de uma profundidade que a maioria nunca experimenta.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74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  <w:tblCellMar>
          <w:top w:type="dxa" w:w="80"/>
          <w:bottom w:type="dxa" w:w="80"/>
        </w:tblCellMar>
      </w:tblPr>
      <w:tblGrid>
        <w:gridCol w:w="600"/>
        <w:gridCol w:w="9146"/>
      </w:tblGrid>
      <w:tr>
        <w:tc>
          <w:tcPr>
            <w:tcW w:type="dxa" w:w="600"/>
            <w:tcBorders>
              <w:top w:val="none"/>
              <w:left w:val="none"/>
              <w:bottom w:val="none"/>
              <w:right w:val="none"/>
            </w:tcBorders>
            <w:shd w:fill="B87BA8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4</w:t>
            </w:r>
          </w:p>
        </w:tc>
        <w:tc>
          <w:tcPr>
            <w:tcW w:type="dxa" w:w="9146"/>
            <w:tcBorders>
              <w:top w:val="none"/>
              <w:left w:val="none"/>
              <w:bottom w:val="none"/>
              <w:right w:val="none"/>
            </w:tcBorders>
            <w:shd w:fill="F5F0E8" w:val="clear"/>
            <w:tcMar>
              <w:top w:type="dxa" w:w="100"/>
              <w:left w:type="dxa" w:w="180"/>
              <w:bottom w:type="dxa" w:w="100"/>
              <w:right w:type="dxa" w:w="16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A2030"/>
                <w:sz w:val="22"/>
                <w:szCs w:val="22"/>
              </w:rPr>
              <w:t xml:space="preserve">Criatividade como expressão</w:t>
            </w:r>
          </w:p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Arte, escrita, música, cozinha — qualquer forma de expressão se torna canal de algo real. Não é talento. É necessidade de existir com autenticidade.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74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  <w:tblCellMar>
          <w:top w:type="dxa" w:w="80"/>
          <w:bottom w:type="dxa" w:w="80"/>
        </w:tblCellMar>
      </w:tblPr>
      <w:tblGrid>
        <w:gridCol w:w="600"/>
        <w:gridCol w:w="9146"/>
      </w:tblGrid>
      <w:tr>
        <w:tc>
          <w:tcPr>
            <w:tcW w:type="dxa" w:w="600"/>
            <w:tcBorders>
              <w:top w:val="none"/>
              <w:left w:val="none"/>
              <w:bottom w:val="none"/>
              <w:right w:val="none"/>
            </w:tcBorders>
            <w:shd w:fill="B87BA8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5</w:t>
            </w:r>
          </w:p>
        </w:tc>
        <w:tc>
          <w:tcPr>
            <w:tcW w:type="dxa" w:w="9146"/>
            <w:tcBorders>
              <w:top w:val="none"/>
              <w:left w:val="none"/>
              <w:bottom w:val="none"/>
              <w:right w:val="none"/>
            </w:tcBorders>
            <w:shd w:fill="F5F0E8" w:val="clear"/>
            <w:tcMar>
              <w:top w:type="dxa" w:w="100"/>
              <w:left w:type="dxa" w:w="180"/>
              <w:bottom w:type="dxa" w:w="100"/>
              <w:right w:type="dxa" w:w="16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A2030"/>
                <w:sz w:val="22"/>
                <w:szCs w:val="22"/>
              </w:rPr>
              <w:t xml:space="preserve">Comprometimento com o significado</w:t>
            </w:r>
          </w:p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Você não faz por fazer. Você precisa que o que faz importe. Essa exigência interna é a fonte de um trabalho que realmente transforma.</w:t>
            </w:r>
          </w:p>
        </w:tc>
      </w:tr>
    </w:tbl>
    <w:p>
      <w:pPr>
        <w:spacing w:after="0" w:before="0"/>
      </w:pPr>
      <w:r>
        <w:t xml:space="preserve"/>
      </w:r>
    </w:p>
    <w:p>
      <w:r>
        <w:br w:type="page"/>
      </w:r>
    </w:p>
    <w:p>
      <w:pPr>
        <w:spacing w:after="80" w:before="280"/>
      </w:pPr>
      <w:r>
        <w:rPr>
          <w:rFonts w:ascii="Arial" w:cs="Arial" w:eastAsia="Arial" w:hAnsi="Arial"/>
          <w:b/>
          <w:bCs/>
          <w:caps/>
          <w:color w:val="8899AA"/>
          <w:sz w:val="18"/>
          <w:szCs w:val="18"/>
        </w:rPr>
        <w:t xml:space="preserve">PARTE 3 · SUA SOMBRA — OS PADRÕES DE Te</w:t>
      </w:r>
    </w:p>
    <w:p>
      <w:pPr>
        <w:pBdr>
          <w:bottom w:val="single" w:color="8B0000" w:sz="8"/>
        </w:pBdr>
        <w:spacing w:after="120" w:before="120"/>
      </w:pPr>
    </w:p>
    <w:p>
      <w:pPr>
        <w:spacing w:after="160" w:before="80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</w:rPr>
        <w:t xml:space="preserve">Quando a função inferior é reprimida, esses padrões emergem. Leia com honestidade — sem julgamento. A sombra não é fraqueza. É o lugar do seu maior crescimento oculto.</w:t>
      </w:r>
    </w:p>
    <w:tbl>
      <w:tblPr>
        <w:tblW w:type="dxa" w:w="974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  <w:tblCellMar>
          <w:top w:type="dxa" w:w="80"/>
          <w:bottom w:type="dxa" w:w="80"/>
        </w:tblCellMar>
      </w:tblPr>
      <w:tblGrid>
        <w:gridCol w:w="600"/>
        <w:gridCol w:w="9146"/>
      </w:tblGrid>
      <w:tr>
        <w:tc>
          <w:tcPr>
            <w:tcW w:type="dxa" w:w="600"/>
            <w:tcBorders>
              <w:top w:val="none"/>
              <w:left w:val="none"/>
              <w:bottom w:val="none"/>
              <w:right w:val="none"/>
            </w:tcBorders>
            <w:shd w:fill="8B0000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1</w:t>
            </w:r>
          </w:p>
        </w:tc>
        <w:tc>
          <w:tcPr>
            <w:tcW w:type="dxa" w:w="9146"/>
            <w:tcBorders>
              <w:top w:val="none"/>
              <w:left w:val="none"/>
              <w:bottom w:val="none"/>
              <w:right w:val="none"/>
            </w:tcBorders>
            <w:shd w:fill="FDF2F2" w:val="clear"/>
            <w:tcMar>
              <w:top w:type="dxa" w:w="100"/>
              <w:left w:type="dxa" w:w="180"/>
              <w:bottom w:type="dxa" w:w="100"/>
              <w:right w:type="dxa" w:w="16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8B0000"/>
                <w:sz w:val="22"/>
                <w:szCs w:val="22"/>
              </w:rPr>
              <w:t xml:space="preserve">Invisibilidade no mundo prático</w:t>
            </w:r>
          </w:p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Você tem muito a oferecer — mas o mundo parece não reconhecer. Te — sua sombra — é o território da execução, da entrega, do resultado mensurável. Sem ela, profundidade fica interna.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74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  <w:tblCellMar>
          <w:top w:type="dxa" w:w="80"/>
          <w:bottom w:type="dxa" w:w="80"/>
        </w:tblCellMar>
      </w:tblPr>
      <w:tblGrid>
        <w:gridCol w:w="600"/>
        <w:gridCol w:w="9146"/>
      </w:tblGrid>
      <w:tr>
        <w:tc>
          <w:tcPr>
            <w:tcW w:type="dxa" w:w="600"/>
            <w:tcBorders>
              <w:top w:val="none"/>
              <w:left w:val="none"/>
              <w:bottom w:val="none"/>
              <w:right w:val="none"/>
            </w:tcBorders>
            <w:shd w:fill="8B0000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2</w:t>
            </w:r>
          </w:p>
        </w:tc>
        <w:tc>
          <w:tcPr>
            <w:tcW w:type="dxa" w:w="9146"/>
            <w:tcBorders>
              <w:top w:val="none"/>
              <w:left w:val="none"/>
              <w:bottom w:val="none"/>
              <w:right w:val="none"/>
            </w:tcBorders>
            <w:shd w:fill="FDF2F2" w:val="clear"/>
            <w:tcMar>
              <w:top w:type="dxa" w:w="100"/>
              <w:left w:type="dxa" w:w="180"/>
              <w:bottom w:type="dxa" w:w="100"/>
              <w:right w:type="dxa" w:w="16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8B0000"/>
                <w:sz w:val="22"/>
                <w:szCs w:val="22"/>
              </w:rPr>
              <w:t xml:space="preserve">Paralisia por imperfeição</w:t>
            </w:r>
          </w:p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O padrão de autenticidade é alto. Tanto que muitas vezes nada chega ao mundo porque "ainda não está pronto" — ou "não vai ser compreendido mesmo".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74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  <w:tblCellMar>
          <w:top w:type="dxa" w:w="80"/>
          <w:bottom w:type="dxa" w:w="80"/>
        </w:tblCellMar>
      </w:tblPr>
      <w:tblGrid>
        <w:gridCol w:w="600"/>
        <w:gridCol w:w="9146"/>
      </w:tblGrid>
      <w:tr>
        <w:tc>
          <w:tcPr>
            <w:tcW w:type="dxa" w:w="600"/>
            <w:tcBorders>
              <w:top w:val="none"/>
              <w:left w:val="none"/>
              <w:bottom w:val="none"/>
              <w:right w:val="none"/>
            </w:tcBorders>
            <w:shd w:fill="8B0000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3</w:t>
            </w:r>
          </w:p>
        </w:tc>
        <w:tc>
          <w:tcPr>
            <w:tcW w:type="dxa" w:w="9146"/>
            <w:tcBorders>
              <w:top w:val="none"/>
              <w:left w:val="none"/>
              <w:bottom w:val="none"/>
              <w:right w:val="none"/>
            </w:tcBorders>
            <w:shd w:fill="FDF2F2" w:val="clear"/>
            <w:tcMar>
              <w:top w:type="dxa" w:w="100"/>
              <w:left w:type="dxa" w:w="180"/>
              <w:bottom w:type="dxa" w:w="100"/>
              <w:right w:type="dxa" w:w="16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8B0000"/>
                <w:sz w:val="22"/>
                <w:szCs w:val="22"/>
              </w:rPr>
              <w:t xml:space="preserve">Isolamento pela profundidade</w:t>
            </w:r>
          </w:p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Você sente demais num mundo que sente pouco. Essa distância entre sua frequência interna e o ritmo externo cria uma solidão que é difícil de explicar para quem não sente.</w:t>
            </w:r>
          </w:p>
        </w:tc>
      </w:tr>
    </w:tbl>
    <w:p>
      <w:pPr>
        <w:spacing w:after="0" w:before="0"/>
      </w:pPr>
      <w:r>
        <w:t xml:space="preserve"/>
      </w:r>
    </w:p>
    <w:p>
      <w:pPr>
        <w:spacing w:after="0" w:before="0"/>
      </w:pPr>
      <w:r>
        <w:t xml:space="preserve"/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single" w:color="B8860B" w:sz="4"/>
              <w:left w:val="single" w:color="B8860B" w:sz="4"/>
              <w:bottom w:val="single" w:color="B8860B" w:sz="4"/>
              <w:right w:val="single" w:color="B8860B" w:sz="4"/>
            </w:tcBorders>
            <w:shd w:fill="FFF8E8" w:val="clear"/>
            <w:tcMar>
              <w:top w:type="dxa" w:w="200"/>
              <w:left w:type="dxa" w:w="280"/>
              <w:bottom w:type="dxa" w:w="200"/>
              <w:right w:type="dxa" w:w="280"/>
            </w:tcMar>
          </w:tcPr>
          <w:p>
            <w:pPr>
              <w:spacing w:after="80"/>
              <w:jc w:val="center"/>
            </w:pPr>
            <w:r>
              <w:rPr>
                <w:rFonts w:ascii="Arial" w:cs="Arial" w:eastAsia="Arial" w:hAnsi="Arial"/>
                <w:b/>
                <w:bCs/>
                <w:caps/>
                <w:color w:val="B8860B"/>
                <w:sz w:val="20"/>
                <w:szCs w:val="20"/>
              </w:rPr>
              <w:t xml:space="preserve">⚡  A PERGUNTA QUE FICA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2030"/>
                <w:sz w:val="26"/>
                <w:szCs w:val="26"/>
              </w:rPr>
              <w:t xml:space="preserve">"Você tem muito a oferecer — mas sente que o mundo simplesmente não vê?"</w:t>
            </w:r>
          </w:p>
        </w:tc>
      </w:tr>
    </w:tbl>
    <w:p>
      <w:r>
        <w:br w:type="page"/>
      </w:r>
    </w:p>
    <w:p>
      <w:pPr>
        <w:spacing w:after="80" w:before="280"/>
      </w:pPr>
      <w:r>
        <w:rPr>
          <w:rFonts w:ascii="Arial" w:cs="Arial" w:eastAsia="Arial" w:hAnsi="Arial"/>
          <w:b/>
          <w:bCs/>
          <w:caps/>
          <w:color w:val="8899AA"/>
          <w:sz w:val="18"/>
          <w:szCs w:val="18"/>
        </w:rPr>
        <w:t xml:space="preserve">PARTE 4 · MISSÃO — PRIMEIROS 3 DIAS</w:t>
      </w:r>
    </w:p>
    <w:p>
      <w:pPr>
        <w:pBdr>
          <w:bottom w:val="single" w:color="B87BA8" w:sz="8"/>
        </w:pBdr>
        <w:spacing w:after="120" w:before="120"/>
      </w:pPr>
    </w:p>
    <w:p>
      <w:pPr>
        <w:spacing w:after="160" w:before="80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</w:rPr>
        <w:t xml:space="preserve">Não é para transformar sua vida esta semana. É para observar o que já existe. 5–10 minutos por dia. Sem julgamento.</w:t>
      </w:r>
    </w:p>
    <w:tbl>
      <w:tblPr>
        <w:tblW w:type="dxa" w:w="974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  <w:tblCellMar>
          <w:top w:type="dxa" w:w="60"/>
          <w:bottom w:type="dxa" w:w="60"/>
        </w:tblCellMar>
      </w:tblPr>
      <w:tblGrid>
        <w:gridCol w:w="520"/>
        <w:gridCol w:w="9226"/>
      </w:tblGrid>
      <w:t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shd w:fill="B87BA8" w:val="clear"/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20"/>
                <w:szCs w:val="20"/>
              </w:rPr>
              <w:t xml:space="preserve">DIA 1</w:t>
            </w:r>
          </w:p>
        </w:tc>
        <w:tc>
          <w:tcPr>
            <w:tcW w:type="dxa" w:w="9226"/>
            <w:tcBorders>
              <w:top w:val="none"/>
              <w:left w:val="none"/>
              <w:bottom w:val="none"/>
              <w:right w:val="none"/>
            </w:tcBorders>
            <w:shd w:fill="F8F6F2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Hoje, compartilhe algo seu com alguém de confiança — uma ideia, uma criação, uma percepção. Observe a resposta.</w:t>
            </w:r>
          </w:p>
        </w:tc>
      </w:tr>
    </w:tbl>
    <w:tbl>
      <w:tblPr>
        <w:tblW w:type="dxa" w:w="974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  <w:tblCellMar>
          <w:top w:type="dxa" w:w="60"/>
          <w:bottom w:type="dxa" w:w="60"/>
        </w:tblCellMar>
      </w:tblPr>
      <w:tblGrid>
        <w:gridCol w:w="520"/>
        <w:gridCol w:w="9226"/>
      </w:tblGrid>
      <w:t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shd w:fill="B87BA8" w:val="clear"/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20"/>
                <w:szCs w:val="20"/>
              </w:rPr>
              <w:t xml:space="preserve">DIA 2</w:t>
            </w:r>
          </w:p>
        </w:tc>
        <w:tc>
          <w:tcPr>
            <w:tcW w:type="dxa" w:w="9226"/>
            <w:tcBorders>
              <w:top w:val="none"/>
              <w:left w:val="none"/>
              <w:bottom w:val="none"/>
              <w:right w:val="none"/>
            </w:tcBorders>
            <w:shd w:fill="F8F6F2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Identifique uma coisa que você quer entregar ao mundo mas tem evitado. O que especificamente te impede?</w:t>
            </w:r>
          </w:p>
        </w:tc>
      </w:tr>
    </w:tbl>
    <w:tbl>
      <w:tblPr>
        <w:tblW w:type="dxa" w:w="974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  <w:tblCellMar>
          <w:top w:type="dxa" w:w="60"/>
          <w:bottom w:type="dxa" w:w="60"/>
        </w:tblCellMar>
      </w:tblPr>
      <w:tblGrid>
        <w:gridCol w:w="520"/>
        <w:gridCol w:w="9226"/>
      </w:tblGrid>
      <w:t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shd w:fill="B87BA8" w:val="clear"/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20"/>
                <w:szCs w:val="20"/>
              </w:rPr>
              <w:t xml:space="preserve">DIA 3</w:t>
            </w:r>
          </w:p>
        </w:tc>
        <w:tc>
          <w:tcPr>
            <w:tcW w:type="dxa" w:w="9226"/>
            <w:tcBorders>
              <w:top w:val="none"/>
              <w:left w:val="none"/>
              <w:bottom w:val="none"/>
              <w:right w:val="none"/>
            </w:tcBorders>
            <w:shd w:fill="F8F6F2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Faça uma ação pequena, concreta, "imperfeita" em direção a algo que importa para você. A perfeição não é o objetivo — o movimento sim.</w:t>
            </w:r>
          </w:p>
        </w:tc>
      </w:tr>
    </w:tbl>
    <w:p>
      <w:r>
        <w:br w:type="page"/>
      </w:r>
    </w:p>
    <w:p>
      <w:pPr>
        <w:spacing w:after="80" w:before="280"/>
      </w:pPr>
      <w:r>
        <w:rPr>
          <w:rFonts w:ascii="Arial" w:cs="Arial" w:eastAsia="Arial" w:hAnsi="Arial"/>
          <w:b/>
          <w:bCs/>
          <w:caps/>
          <w:color w:val="8899AA"/>
          <w:sz w:val="18"/>
          <w:szCs w:val="18"/>
        </w:rPr>
        <w:t xml:space="preserve">SUA JORNADA À FRENTE — 3 NÍVEIS</w:t>
      </w:r>
    </w:p>
    <w:p>
      <w:pPr>
        <w:pBdr>
          <w:bottom w:val="single" w:color="B8860B" w:sz="8"/>
        </w:pBdr>
        <w:spacing w:after="120" w:before="120"/>
      </w:pPr>
    </w:p>
    <w:p>
      <w:pPr>
        <w:spacing w:after="200" w:before="80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</w:rPr>
        <w:t xml:space="preserve">Este relatório é o primeiro passo — a Primeira Luz. O que está aqui é real e já vai mudar como você se vê. Mas a jornada completa tem mais.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48"/>
        <w:gridCol w:w="3248"/>
        <w:gridCol w:w="3248"/>
      </w:tblGrid>
      <w:tr>
        <w:tc>
          <w:tcPr>
            <w:tcW w:type="dxa" w:w="3248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B87BA8" w:val="clear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pPr>
              <w:spacing w:after="60"/>
              <w:jc w:val="center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✦  VOCÊ ESTÁ AQUI</w:t>
            </w:r>
          </w:p>
          <w:p>
            <w:pPr>
              <w:spacing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Primeira Luz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E8E0D0"/>
                <w:sz w:val="18"/>
                <w:szCs w:val="18"/>
              </w:rPr>
              <w:t xml:space="preserve">Reconhecer luz e sombra · Missão 3 dias</w:t>
            </w:r>
          </w:p>
        </w:tc>
        <w:tc>
          <w:tcPr>
            <w:tcW w:type="dxa" w:w="3248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0EDE8" w:val="clear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pPr>
              <w:spacing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1A2030"/>
                <w:sz w:val="22"/>
                <w:szCs w:val="22"/>
              </w:rPr>
              <w:t xml:space="preserve">Luz e Sombra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18"/>
                <w:szCs w:val="18"/>
              </w:rPr>
              <w:t xml:space="preserve">4 padrões de sombra · Missão 30 dias</w:t>
            </w:r>
          </w:p>
        </w:tc>
        <w:tc>
          <w:tcPr>
            <w:tcW w:type="dxa" w:w="3248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E8E5E0" w:val="clear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pPr>
              <w:spacing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1A2030"/>
                <w:sz w:val="22"/>
                <w:szCs w:val="22"/>
              </w:rPr>
              <w:t xml:space="preserve">Maestria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18"/>
                <w:szCs w:val="18"/>
              </w:rPr>
              <w:t xml:space="preserve">Fluid Self · Evolução · Missão 90 dias</w:t>
            </w:r>
          </w:p>
        </w:tc>
      </w:tr>
    </w:tbl>
    <w:p>
      <w:pPr>
        <w:spacing w:after="0" w:before="0"/>
      </w:pPr>
      <w:r>
        <w:t xml:space="preserve"/>
      </w:r>
    </w:p>
    <w:p>
      <w:pPr>
        <w:spacing w:after="0" w:before="0"/>
      </w:pPr>
      <w:r>
        <w:t xml:space="preserve"/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single" w:color="B8860B" w:sz="6"/>
              <w:left w:val="single" w:color="B8860B" w:sz="6"/>
              <w:bottom w:val="single" w:color="B8860B" w:sz="6"/>
              <w:right w:val="single" w:color="B8860B" w:sz="6"/>
            </w:tcBorders>
            <w:shd w:fill="1A2030" w:val="clear"/>
            <w:tcMar>
              <w:top w:type="dxa" w:w="280"/>
              <w:left w:type="dxa" w:w="360"/>
              <w:bottom w:type="dxa" w:w="280"/>
              <w:right w:type="dxa" w:w="360"/>
            </w:tcMar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caps/>
                <w:color w:val="B8860B"/>
                <w:sz w:val="20"/>
                <w:szCs w:val="20"/>
              </w:rPr>
              <w:t xml:space="preserve">✦  LUZ E SOMBRA — RELATÓRIO COMPLETO  ✦</w:t>
            </w:r>
          </w:p>
          <w:p>
            <w:pPr>
              <w:spacing w:after="160"/>
              <w:jc w:val="center"/>
            </w:pPr>
            <w:r>
              <w:rPr>
                <w:rFonts w:ascii="Arial" w:cs="Arial" w:eastAsia="Arial" w:hAnsi="Arial"/>
                <w:color w:val="D0C8B8"/>
                <w:sz w:val="22"/>
                <w:szCs w:val="22"/>
              </w:rPr>
              <w:t xml:space="preserve">O relatório completo revela como transformar sua profundidade em presença real — e ser visto pelo que você realmente é, no mundo que existe.</w:t>
            </w:r>
          </w:p>
          <w:p>
            <w:pPr>
              <w:spacing w:after="10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 relatório completo inclui: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B8D0B0"/>
                <w:sz w:val="20"/>
                <w:szCs w:val="20"/>
              </w:rPr>
              <w:t xml:space="preserve">  ✓  4 padrões de sombra em profundidade — com exemplos reais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B8D0B0"/>
                <w:sz w:val="20"/>
                <w:szCs w:val="20"/>
              </w:rPr>
              <w:t xml:space="preserve">  ✓  Mapa de crescimento em 3 estágios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B8D0B0"/>
                <w:sz w:val="20"/>
                <w:szCs w:val="20"/>
              </w:rPr>
              <w:t xml:space="preserve">  ✓  Protocolo de crise — o que fazer quando a sombra domina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B8D0B0"/>
                <w:sz w:val="20"/>
                <w:szCs w:val="20"/>
              </w:rPr>
              <w:t xml:space="preserve">  ✓  Como a sombra afeta suas finanças e decisões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B8D0B0"/>
                <w:sz w:val="20"/>
                <w:szCs w:val="20"/>
              </w:rPr>
              <w:t xml:space="preserve">  ✓  Impacto nos relacionamentos — e o caminho para mudar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B8D0B0"/>
                <w:sz w:val="20"/>
                <w:szCs w:val="20"/>
              </w:rPr>
              <w:t xml:space="preserve">  ✓  Missão de 30 dias personalizada</w:t>
            </w:r>
          </w:p>
          <w:p>
            <w:pPr>
              <w:spacing w:after="80" w:before="200"/>
              <w:jc w:val="center"/>
            </w:pPr>
            <w:hyperlink w:history="1" r:id="rIdfcwnstzzc1-genlep2zsb">
              <w:r>
                <w:rPr>
                  <w:rFonts w:ascii="Arial" w:cs="Arial" w:eastAsia="Arial" w:hAnsi="Arial"/>
                  <w:b/>
                  <w:bCs/>
                  <w:color w:val="D4A520"/>
                  <w:sz w:val="24"/>
                  <w:szCs w:val="24"/>
                </w:rPr>
                <w:t xml:space="preserve">→  Acessar o Relatório Completo A Alma</w:t>
              </w:r>
            </w:hyperlink>
          </w:p>
          <w:p>
            <w:pPr>
              <w:jc w:val="center"/>
            </w:pPr>
            <w:r>
              <w:rPr>
                <w:rFonts w:ascii="Arial" w:cs="Arial" w:eastAsia="Arial" w:hAnsi="Arial"/>
                <w:color w:val="8899AA"/>
                <w:sz w:val="18"/>
                <w:szCs w:val="18"/>
              </w:rPr>
              <w:t xml:space="preserve">https://go.hotmart.com/U104717553C</w:t>
            </w:r>
          </w:p>
        </w:tc>
      </w:tr>
    </w:tbl>
    <w:p>
      <w:pPr>
        <w:spacing w:after="0" w:before="0"/>
      </w:pPr>
      <w:r>
        <w:t xml:space="preserve"/>
      </w:r>
    </w:p>
    <w:p>
      <w:pPr>
        <w:spacing w:after="0" w:before="0"/>
      </w:pPr>
      <w:r>
        <w:t xml:space="preserve"/>
      </w:r>
    </w:p>
    <w:p>
      <w:pPr>
        <w:pBdr>
          <w:bottom w:val="single" w:color="8899AA" w:sz="8"/>
        </w:pBdr>
        <w:spacing w:after="120" w:before="120"/>
      </w:pPr>
    </w:p>
    <w:p>
      <w:pPr>
        <w:spacing w:before="120"/>
        <w:jc w:val="center"/>
      </w:pPr>
      <w:r>
        <w:rPr>
          <w:rFonts w:ascii="Arial" w:cs="Arial" w:eastAsia="Arial" w:hAnsi="Arial"/>
          <w:color w:val="8899AA"/>
          <w:sz w:val="18"/>
          <w:szCs w:val="18"/>
        </w:rPr>
        <w:t xml:space="preserve">shadowgram.org  ·  © 2025 Shadowgram  ·  Uso exclusivo do comprador  ·  Proibida a redistribuição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8899AA" w:sz="2"/>
      </w:pBdr>
      <w:spacing w:before="80"/>
      <w:jc w:val="center"/>
    </w:pPr>
    <w:r>
      <w:rPr>
        <w:rFonts w:ascii="Arial" w:cs="Arial" w:eastAsia="Arial" w:hAnsi="Arial"/>
        <w:color w:val="8899AA"/>
        <w:sz w:val="16"/>
        <w:szCs w:val="16"/>
      </w:rPr>
      <w:t xml:space="preserve">Página </w:t>
    </w:r>
    <w:r>
      <w:rPr>
        <w:rFonts w:ascii="Arial" w:cs="Arial" w:eastAsia="Arial" w:hAnsi="Arial"/>
        <w:color w:val="8899AA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8860B" w:sz="4"/>
      </w:pBdr>
    </w:pPr>
    <w:r>
      <w:rPr>
        <w:rFonts w:ascii="Arial" w:cs="Arial" w:eastAsia="Arial" w:hAnsi="Arial"/>
        <w:b/>
        <w:bCs/>
        <w:color w:val="B8860B"/>
        <w:sz w:val="18"/>
        <w:szCs w:val="18"/>
      </w:rPr>
      <w:t xml:space="preserve">SHADOWGRAM  ·  </w:t>
    </w:r>
    <w:r>
      <w:rPr>
        <w:rFonts w:ascii="Arial" w:cs="Arial" w:eastAsia="Arial" w:hAnsi="Arial"/>
        <w:color w:val="8899AA"/>
        <w:sz w:val="18"/>
        <w:szCs w:val="18"/>
      </w:rPr>
      <w:t xml:space="preserve">SOUL · A Alma  ·  Primeira Luz</w:t>
    </w:r>
    <w:r>
      <w:rPr>
        <w:rFonts w:ascii="Arial" w:cs="Arial" w:eastAsia="Arial" w:hAnsi="Arial"/>
        <w:color w:val="8899AA"/>
        <w:sz w:val="18"/>
        <w:szCs w:val="18"/>
      </w:rPr>
      <w:t xml:space="preserve">        shadowgram.org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20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fcwnstzzc1-genlep2zsb" Type="http://schemas.openxmlformats.org/officeDocument/2006/relationships/hyperlink" Target="https://go.hotmart.com/U104717553C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2026-03-03T07:08:32.325Z</dcterms:created>
  <dcterms:modified xsi:type="dcterms:W3CDTF">2026-03-03T07:08:32.325Z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