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6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p>
      <w:r>
        <w:br w:type="page"/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r>
        <w:br w:type="page"/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References available upon request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https://github.com/shadowguardian507-irl/CV</dc:description>
  <dc:subject>James Crowther’s CV</dc:subject>
  <cp:keywords>CV</cp:keywords>
  <dcterms:created xsi:type="dcterms:W3CDTF">2024-05-08T22:43:59Z</dcterms:created>
  <dcterms:modified xsi:type="dcterms:W3CDTF">2024-05-08T22:43:59Z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