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Message-ID: &lt;15319936.1075857674408.JavaMail.evans@thyme&gt;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Date: Mon, 14 May 2001 04:52:46 -0700 (PDT)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From: kishkill@enron.com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To: john.lavorato@enron.com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Subject: PB Presentation - Term Sheet has been executed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Cc: brett.wiggs@enron.com, orlando.gonzalez@enron.com, ricardo.mucci@enron.com,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ricardo.cunha@enron.com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Mime-Version: 1.0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Content-Type: text/plain; charset=us-ascii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Content-Transfer-Encoding: 7bit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Bcc: brett.wiggs@enron.com, orlando.gonzalez@enron.com, ricardo.mucci@enron.com,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ricardo.cunha@enron.com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X-From: Kishkill, Joe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X-To: Lavorato, John &lt;/o=ENRON/ou=NA/cn=Recipients/cn=JLAVORA&gt;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X-cc: Wiggs, Brett &lt;/o=ENRON/ou=NA/cn=Recipients/cn=NOTESADDR/CN=B8234AA3-F73ED463-862568E0-2FA20E&gt;, Gonzalez, Orlando &lt;/o=ENRON/ou=NA/cn=Recipients/cn=NOTESADDR/CN=7BE27D06-2E3B4719-862568EB-104D43&gt;, Mucci, Ricardo &lt;/o=ENRON/ou=NA/cn=Recipients/cn=NOTESADDR/CN=B724D58-B55E3B70-862568E0-2FA200&gt;, Cunha, Ricardo &lt;/o=ENRON/ou=NA/cn=Recipients/cn=NOTESADDR/CN=8AF9349-356C0A31-32568EA-52B05D&gt;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X-bcc: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X-Folder: \jlavora\Deleted Items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X-Origin: Lavorado-J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X-FileName: jlavora.pst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John,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Here is an update of the Petrobras Marketing Agreement we briefed you on about 2 weeks ago.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 have executed a term sheet with Petrobras for the terms and conditions described in the updated presentation.  We also reran the economics based upon what is in the term sheet.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term sheet defines the major commerical terms and conditions as well as gives us a 180 day exclusive with Petrobras on the volumes in question.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term sheet is in Portuguese.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 can either discuss this at the "tail end" of today's Eletrobolt call or can schedule separately.  Whatever works for you.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Thanks,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Kish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---------------------- Forwarded by Joe Kishkill/SA/Enron on 05/14/2001 08:49 AM ---------------------------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Ricardo D Cunha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05/11/2001 06:49 PM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To:</w:t>
        <w:tab/>
        <w:t xml:space="preserve">Joe Kishkill/SA/Enron@Enron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cc: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Subject:</w:t>
        <w:tab/>
        <w:t xml:space="preserve">PB Presentation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Joe,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This version has a few minor changes, mainly format corrections. The main one is the inclusion of a slide describing the sharing mechanism for 2004-2011.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