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p>
    <w:p>
      <w:pPr>
        <w:spacing w:before="0" w:after="60"/>
        <w:jc w:val="center"/>
      </w:pPr>
      <w:r>
        <w:rPr>
          <w:color w:val="8899AA"/>
          <w:sz w:val="22"/>
          <w:szCs w:val="22"/>
        </w:rPr>
        <w:t xml:space="preserve">SHADOWGRAM  ·  VISION Master Series</w:t>
      </w:r>
    </w:p>
    <w:p>
      <w:pPr>
        <w:spacing w:before="0" w:after="60"/>
        <w:jc w:val="center"/>
      </w:pPr>
      <w:r>
        <w:rPr>
          <w:b/>
          <w:bCs/>
          <w:color w:val="7A4A1B"/>
          <w:sz w:val="36"/>
          <w:szCs w:val="36"/>
        </w:rPr>
        <w:t xml:space="preserve">Apéndice C</w:t>
      </w:r>
    </w:p>
    <w:p>
      <w:pPr>
        <w:spacing w:before="0" w:after="60"/>
        <w:jc w:val="center"/>
      </w:pPr>
      <w:r>
        <w:rPr>
          <w:b/>
          <w:bCs/>
          <w:color w:val="7A4A1B"/>
          <w:sz w:val="52"/>
          <w:szCs w:val="52"/>
        </w:rPr>
        <w:t xml:space="preserve">🌾  Harvest Moon</w:t>
      </w:r>
    </w:p>
    <w:p>
      <w:pPr>
        <w:spacing w:before="0" w:after="60"/>
        <w:jc w:val="center"/>
      </w:pPr>
      <w:r>
        <w:rPr>
          <w:color w:val="2C2C3E"/>
          <w:sz w:val="26"/>
          <w:szCs w:val="26"/>
        </w:rPr>
        <w:t xml:space="preserve">Guía de riqueza, finanzas y diseño de legado del profeta NI</w:t>
      </w:r>
    </w:p>
    <w:p>
      <w:pPr>
        <w:spacing w:before="0" w:after="80"/>
      </w:pPr>
    </w:p>
    <w:p>
      <w:pPr>
        <w:pBdr>
          <w:bottom w:val="single" w:color="7A4A1B" w:sz="4"/>
        </w:pBdr>
        <w:spacing w:before="60" w:after="60"/>
      </w:pPr>
    </w:p>
    <w:p>
      <w:pPr>
        <w:spacing w:before="0" w:after="60"/>
      </w:pPr>
    </w:p>
    <w:p>
      <w:pPr>
        <w:jc w:val="center"/>
      </w:pPr>
      <w:r>
        <w:rPr>
          <w:color w:val="2C2C3E"/>
          <w:sz w:val="22"/>
          <w:szCs w:val="22"/>
        </w:rPr>
        <w:t xml:space="preserve">Tu visión toca el mundo más poderosamente a través de la abundancia material.</w:t>
      </w:r>
    </w:p>
    <w:p>
      <w:r>
        <w:br w:type="page"/>
      </w:r>
    </w:p>
    <w:p>
      <w:pPr>
        <w:pStyle w:val="Heading1"/>
      </w:pPr>
      <w:r>
        <w:rPr>
          <w:color w:val="7A4A1B"/>
        </w:rPr>
        <w:t xml:space="preserve">Parte 1  5 patrones de sombra de dinero de VISION</w:t>
      </w:r>
    </w:p>
    <w:p>
      <w:pPr>
        <w:pStyle w:val="Heading2"/>
      </w:pPr>
      <w:r>
        <w:rPr>
          <w:color w:val="7A4A1B"/>
        </w:rPr>
        <w:t xml:space="preserve">La relación compleja del profeta con la riqueza</w:t>
      </w:r>
    </w:p>
    <w:p>
      <w:pPr>
        <w:spacing w:before="40" w:after="80"/>
      </w:pPr>
      <w:r>
        <w:rPr>
          <w:sz w:val="22"/>
          <w:szCs w:val="22"/>
        </w:rPr>
        <w:t xml:space="preserve">VISION tiende a tener una relación compleja con el dinero. Persiguiendo significado profundo y espiritualidad, VISION a menudo deprecia inconscientemente el dinero como 'material y superficial', o experimenta gran frustración por las limitaciones cuando falta dinero.</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1B" w:sz="2"/>
              <w:left w:val="thick" w:color="7A4A1B" w:sz="12"/>
              <w:bottom w:val="single" w:color="7A4A1B" w:sz="2"/>
              <w:right w:val="single" w:color="7A4A1B" w:sz="2"/>
            </w:tcBorders>
            <w:shd w:fill="FFF5E8" w:val="clear"/>
            <w:tcMar>
              <w:top w:type="dxa" w:w="160"/>
              <w:left w:type="dxa" w:w="240"/>
              <w:bottom w:type="dxa" w:w="160"/>
              <w:right w:type="dxa" w:w="240"/>
            </w:tcMar>
          </w:tcPr>
          <w:p>
            <w:pPr>
              <w:spacing w:before="0" w:after="40"/>
            </w:pPr>
            <w:r>
              <w:rPr>
                <w:b/>
                <w:bCs/>
                <w:color w:val="7A4A1B"/>
                <w:sz w:val="21"/>
                <w:szCs w:val="21"/>
              </w:rPr>
              <w:t xml:space="preserve">Patrón 1  El dinero es malo — Sombra de altivez espiritual</w:t>
            </w:r>
          </w:p>
          <w:p>
            <w:pPr>
              <w:spacing w:before="40" w:after="40"/>
            </w:pPr>
            <w:r>
              <w:rPr>
                <w:color w:val="2C2C3E"/>
                <w:sz w:val="21"/>
                <w:szCs w:val="21"/>
              </w:rPr>
              <w:t xml:space="preserve">VISION persigue espiritualidad profunda y define el deseo de dinero como 'materialismo', sufriendo conflicto interno. Cuando esta sombra se activa, inconscientemente retrocede ante oportunidades de ganar dinero.</w:t>
            </w:r>
          </w:p>
          <w:p>
            <w:pPr>
              <w:spacing w:before="40" w:after="40"/>
            </w:pPr>
            <w:r>
              <w:rPr>
                <w:b/>
                <w:bCs/>
                <w:color w:val="7A4A1B"/>
                <w:sz w:val="21"/>
                <w:szCs w:val="21"/>
              </w:rPr>
              <w:t xml:space="preserve">Dirección de resolución: el dinero es la energía que hace realidad la visión. Más dinero permite una visión más grande.</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1B" w:sz="2"/>
              <w:left w:val="thick" w:color="7A4A1B" w:sz="12"/>
              <w:bottom w:val="single" w:color="7A4A1B" w:sz="2"/>
              <w:right w:val="single" w:color="7A4A1B" w:sz="2"/>
            </w:tcBorders>
            <w:shd w:fill="FFF5E8" w:val="clear"/>
            <w:tcMar>
              <w:top w:type="dxa" w:w="160"/>
              <w:left w:type="dxa" w:w="240"/>
              <w:bottom w:type="dxa" w:w="160"/>
              <w:right w:type="dxa" w:w="240"/>
            </w:tcMar>
          </w:tcPr>
          <w:p>
            <w:pPr>
              <w:spacing w:before="0" w:after="40"/>
            </w:pPr>
            <w:r>
              <w:rPr>
                <w:b/>
                <w:bCs/>
                <w:color w:val="7A4A1B"/>
                <w:sz w:val="21"/>
                <w:szCs w:val="21"/>
              </w:rPr>
              <w:t xml:space="preserve">Patrón 2  No quiero pensar en dinero — Sombra de evasión de la realidad</w:t>
            </w:r>
          </w:p>
          <w:p>
            <w:pPr>
              <w:spacing w:before="40" w:after="40"/>
            </w:pPr>
            <w:r>
              <w:rPr>
                <w:color w:val="2C2C3E"/>
                <w:sz w:val="21"/>
                <w:szCs w:val="21"/>
              </w:rPr>
              <w:t xml:space="preserve">Gestión financiera, impuestos, números — VISION evita estos detalles prácticos de la realidad. Tiene miedo de verificar el saldo, no registra gastos.</w:t>
            </w:r>
          </w:p>
          <w:p>
            <w:pPr>
              <w:spacing w:before="40" w:after="40"/>
            </w:pPr>
            <w:r>
              <w:rPr>
                <w:b/>
                <w:bCs/>
                <w:color w:val="7A4A1B"/>
                <w:sz w:val="21"/>
                <w:szCs w:val="21"/>
              </w:rPr>
              <w:t xml:space="preserve">Dirección de resolución: crea una rutina para verificar tu situación financiera 1 vez al mes, solo 30 minutos. La conciencia regular es más importante que la gestión perfecta.</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1B" w:sz="2"/>
              <w:left w:val="thick" w:color="7A4A1B" w:sz="12"/>
              <w:bottom w:val="single" w:color="7A4A1B" w:sz="2"/>
              <w:right w:val="single" w:color="7A4A1B" w:sz="2"/>
            </w:tcBorders>
            <w:shd w:fill="FFF5E8" w:val="clear"/>
            <w:tcMar>
              <w:top w:type="dxa" w:w="160"/>
              <w:left w:type="dxa" w:w="240"/>
              <w:bottom w:type="dxa" w:w="160"/>
              <w:right w:type="dxa" w:w="240"/>
            </w:tcMar>
          </w:tcPr>
          <w:p>
            <w:pPr>
              <w:spacing w:before="0" w:after="40"/>
            </w:pPr>
            <w:r>
              <w:rPr>
                <w:b/>
                <w:bCs/>
                <w:color w:val="7A4A1B"/>
                <w:sz w:val="21"/>
                <w:szCs w:val="21"/>
              </w:rPr>
              <w:t xml:space="preserve">Patrón 3  Soy artista/filósofo, el dinero vendrá — Sombra de dependencia de visión</w:t>
            </w:r>
          </w:p>
          <w:p>
            <w:pPr>
              <w:spacing w:before="40" w:after="40"/>
            </w:pPr>
            <w:r>
              <w:rPr>
                <w:color w:val="2C2C3E"/>
                <w:sz w:val="21"/>
                <w:szCs w:val="21"/>
              </w:rPr>
              <w:t xml:space="preserve">La convicción de VISION sobre su visión se degrada en la creencia pasiva de que 'el dinero viene naturalmente si haces el bien'. Persigue la visión sin una estrategia concreta para ganar dinero.</w:t>
            </w:r>
          </w:p>
          <w:p>
            <w:pPr>
              <w:spacing w:before="40" w:after="40"/>
            </w:pPr>
            <w:r>
              <w:rPr>
                <w:b/>
                <w:bCs/>
                <w:color w:val="7A4A1B"/>
                <w:sz w:val="21"/>
                <w:szCs w:val="21"/>
              </w:rPr>
              <w:t xml:space="preserve">Dirección de resolución: hacer que la visión sea realidad es exactamente la planificación financiera. La visión requiere un modelo de ingresos.</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1B" w:sz="2"/>
              <w:left w:val="thick" w:color="7A4A1B" w:sz="12"/>
              <w:bottom w:val="single" w:color="7A4A1B" w:sz="2"/>
              <w:right w:val="single" w:color="7A4A1B" w:sz="2"/>
            </w:tcBorders>
            <w:shd w:fill="FFF5E8" w:val="clear"/>
            <w:tcMar>
              <w:top w:type="dxa" w:w="160"/>
              <w:left w:type="dxa" w:w="240"/>
              <w:bottom w:type="dxa" w:w="160"/>
              <w:right w:type="dxa" w:w="240"/>
            </w:tcMar>
          </w:tcPr>
          <w:p>
            <w:pPr>
              <w:spacing w:before="0" w:after="40"/>
            </w:pPr>
            <w:r>
              <w:rPr>
                <w:b/>
                <w:bCs/>
                <w:color w:val="7A4A1B"/>
                <w:sz w:val="21"/>
                <w:szCs w:val="21"/>
              </w:rPr>
              <w:t xml:space="preserve">Patrón 4  Vuelvo grande de una vez — Sombra de pensamiento de apuestas</w:t>
            </w:r>
          </w:p>
          <w:p>
            <w:pPr>
              <w:spacing w:before="40" w:after="40"/>
            </w:pPr>
            <w:r>
              <w:rPr>
                <w:color w:val="2C2C3E"/>
                <w:sz w:val="21"/>
                <w:szCs w:val="21"/>
              </w:rPr>
              <w:t xml:space="preserve">El enfoque de visión de VISION se manifiesta en finanzas como un patrón de apuesta: 'apostar todo en una gran oportunidad'. Ignora pequeñas ganancias esperando un gran éxito.</w:t>
            </w:r>
          </w:p>
          <w:p>
            <w:pPr>
              <w:spacing w:before="40" w:after="40"/>
            </w:pPr>
            <w:r>
              <w:rPr>
                <w:b/>
                <w:bCs/>
                <w:color w:val="7A4A1B"/>
                <w:sz w:val="21"/>
                <w:szCs w:val="21"/>
              </w:rPr>
              <w:t xml:space="preserve">Dirección de resolución: el efecto compuesto de pequeños ingresos eventualmente crea un cambio grande. Aplica la visión a largo plazo de VISION a las finanzas también.</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1B" w:sz="2"/>
              <w:left w:val="thick" w:color="7A4A1B" w:sz="12"/>
              <w:bottom w:val="single" w:color="7A4A1B" w:sz="2"/>
              <w:right w:val="single" w:color="7A4A1B" w:sz="2"/>
            </w:tcBorders>
            <w:shd w:fill="FFF5E8" w:val="clear"/>
            <w:tcMar>
              <w:top w:type="dxa" w:w="160"/>
              <w:left w:type="dxa" w:w="240"/>
              <w:bottom w:type="dxa" w:w="160"/>
              <w:right w:type="dxa" w:w="240"/>
            </w:tcMar>
          </w:tcPr>
          <w:p>
            <w:pPr>
              <w:spacing w:before="0" w:after="40"/>
            </w:pPr>
            <w:r>
              <w:rPr>
                <w:b/>
                <w:bCs/>
                <w:color w:val="7A4A1B"/>
                <w:sz w:val="21"/>
                <w:szCs w:val="21"/>
              </w:rPr>
              <w:t xml:space="preserve">Patrón 5  El dinero se gasta cuando existe — Sombra de consumo impulsivo</w:t>
            </w:r>
          </w:p>
          <w:p>
            <w:pPr>
              <w:spacing w:before="40" w:after="40"/>
            </w:pPr>
            <w:r>
              <w:rPr>
                <w:color w:val="2C2C3E"/>
                <w:sz w:val="21"/>
                <w:szCs w:val="21"/>
              </w:rPr>
              <w:t xml:space="preserve">En situaciones de estrés, la función inferior Se explota con compras impulsivas, viajes, sobregasto en experiencias costosas. Las compras relacionadas con la visión (libros, cursos, equipos) también toman forma de consumo excesivo.</w:t>
            </w:r>
          </w:p>
          <w:p>
            <w:pPr>
              <w:spacing w:before="40" w:after="40"/>
            </w:pPr>
            <w:r>
              <w:rPr>
                <w:b/>
                <w:bCs/>
                <w:color w:val="7A4A1B"/>
                <w:sz w:val="21"/>
                <w:szCs w:val="21"/>
              </w:rPr>
              <w:t xml:space="preserve">Dirección de resolución: crea una regla para verificar '¿esta compra es lo más importante para mi visión?' después de 24 horas.</w:t>
            </w:r>
          </w:p>
        </w:tc>
      </w:tr>
    </w:tbl>
    <w:p>
      <w:pPr>
        <w:spacing w:before="0" w:after="100"/>
      </w:pPr>
    </w:p>
    <w:p>
      <w:r>
        <w:br w:type="page"/>
      </w:r>
    </w:p>
    <w:p>
      <w:pPr>
        <w:pStyle w:val="Heading1"/>
      </w:pPr>
      <w:r>
        <w:rPr>
          <w:color w:val="7A4A1B"/>
        </w:rPr>
        <w:t xml:space="preserve">Parte 2  Sistema financiero de 4 etapas de VISION</w:t>
      </w:r>
    </w:p>
    <w:p>
      <w:pPr>
        <w:pStyle w:val="Heading2"/>
      </w:pPr>
      <w:r>
        <w:rPr>
          <w:color w:val="7A4A1B"/>
        </w:rPr>
        <w:t xml:space="preserve">Estructura de dinero simple para apoyar tu visión</w:t>
      </w:r>
    </w:p>
    <w:p>
      <w:pPr>
        <w:spacing w:before="40" w:after="80"/>
      </w:pPr>
      <w:r>
        <w:rPr>
          <w:sz w:val="22"/>
          <w:szCs w:val="22"/>
        </w:rPr>
        <w:t xml:space="preserve">El sistema financiero adecuado para VISION no debe ser complejo. Cuanto más simple y automatizado, menos energía de gestión y más enfoque en la visión.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480"/>
        <w:gridCol w:w="2680"/>
      </w:tblGrid>
      <w:tr>
        <w:tc>
          <w:tcPr>
            <w:tcW w:type="dxa" w:w="1200"/>
            <w:tcBorders>
              <w:top w:val="single" w:color="E8E8EE" w:sz="2"/>
              <w:left w:val="single" w:color="E8E8EE" w:sz="2"/>
              <w:bottom w:val="single" w:color="E8E8EE" w:sz="2"/>
              <w:right w:val="single" w:color="E8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Etapa</w:t>
            </w:r>
          </w:p>
        </w:tc>
        <w:tc>
          <w:tcPr>
            <w:tcW w:type="dxa" w:w="2000"/>
            <w:tcBorders>
              <w:top w:val="single" w:color="E8E8EE" w:sz="2"/>
              <w:left w:val="single" w:color="E8E8EE" w:sz="2"/>
              <w:bottom w:val="single" w:color="E8E8EE" w:sz="2"/>
              <w:right w:val="single" w:color="E8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Nombre</w:t>
            </w:r>
          </w:p>
        </w:tc>
        <w:tc>
          <w:tcPr>
            <w:tcW w:type="dxa" w:w="3480"/>
            <w:tcBorders>
              <w:top w:val="single" w:color="E8E8EE" w:sz="2"/>
              <w:left w:val="single" w:color="E8E8EE" w:sz="2"/>
              <w:bottom w:val="single" w:color="E8E8EE" w:sz="2"/>
              <w:right w:val="single" w:color="E8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Contenido</w:t>
            </w:r>
          </w:p>
        </w:tc>
        <w:tc>
          <w:tcPr>
            <w:tcW w:type="dxa" w:w="2680"/>
            <w:tcBorders>
              <w:top w:val="single" w:color="E8E8EE" w:sz="2"/>
              <w:left w:val="single" w:color="E8E8EE" w:sz="2"/>
              <w:bottom w:val="single" w:color="E8E8EE" w:sz="2"/>
              <w:right w:val="single" w:color="E8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Consejo personalizado NI</w:t>
            </w:r>
          </w:p>
        </w:tc>
      </w:tr>
      <w:tr>
        <w:tc>
          <w:tcPr>
            <w:tcW w:type="dxa" w:w="1200"/>
            <w:tcBorders>
              <w:top w:val="single" w:color="E8E8EE" w:sz="2"/>
              <w:left w:val="single" w:color="E8E8EE" w:sz="2"/>
              <w:bottom w:val="single" w:color="E8E8EE" w:sz="2"/>
              <w:right w:val="single" w:color="E8E8EE" w:sz="2"/>
            </w:tcBorders>
            <w:shd w:fill="FFF5E8" w:val="clear"/>
            <w:tcMar>
              <w:top w:type="dxa" w:w="80"/>
              <w:left w:type="dxa" w:w="120"/>
              <w:bottom w:type="dxa" w:w="80"/>
              <w:right w:type="dxa" w:w="120"/>
            </w:tcMar>
            <w:vAlign w:val="center"/>
          </w:tcPr>
          <w:p>
            <w:pPr>
              <w:jc w:val="left"/>
            </w:pPr>
            <w:r>
              <w:rPr>
                <w:b/>
                <w:bCs/>
                <w:color w:val="7A4A1B"/>
                <w:sz w:val="21"/>
                <w:szCs w:val="21"/>
              </w:rPr>
              <w:t xml:space="preserve">Etapa 1</w:t>
            </w:r>
          </w:p>
        </w:tc>
        <w:tc>
          <w:tcPr>
            <w:tcW w:type="dxa" w:w="2000"/>
            <w:tcBorders>
              <w:top w:val="single" w:color="E8E8EE" w:sz="2"/>
              <w:left w:val="single" w:color="E8E8EE" w:sz="2"/>
              <w:bottom w:val="single" w:color="E8E8EE" w:sz="2"/>
              <w:right w:val="single" w:color="E8E8EE" w:sz="2"/>
            </w:tcBorders>
            <w:shd w:fill="FFF5E8" w:val="clear"/>
            <w:tcMar>
              <w:top w:type="dxa" w:w="80"/>
              <w:left w:type="dxa" w:w="120"/>
              <w:bottom w:type="dxa" w:w="80"/>
              <w:right w:type="dxa" w:w="120"/>
            </w:tcMar>
            <w:vAlign w:val="center"/>
          </w:tcPr>
          <w:p>
            <w:pPr>
              <w:jc w:val="left"/>
            </w:pPr>
            <w:r>
              <w:rPr>
                <w:b w:val="false"/>
                <w:bCs w:val="false"/>
                <w:color w:val="2C2C3E"/>
                <w:sz w:val="21"/>
                <w:szCs w:val="21"/>
              </w:rPr>
              <w:t xml:space="preserve">Base de supervivencia</w:t>
            </w:r>
          </w:p>
        </w:tc>
        <w:tc>
          <w:tcPr>
            <w:tcW w:type="dxa" w:w="3480"/>
            <w:tcBorders>
              <w:top w:val="single" w:color="E8E8EE" w:sz="2"/>
              <w:left w:val="single" w:color="E8E8EE" w:sz="2"/>
              <w:bottom w:val="single" w:color="E8E8EE" w:sz="2"/>
              <w:right w:val="single" w:color="E8E8EE" w:sz="2"/>
            </w:tcBorders>
            <w:shd w:fill="FFF5E8" w:val="clear"/>
            <w:tcMar>
              <w:top w:type="dxa" w:w="80"/>
              <w:left w:type="dxa" w:w="120"/>
              <w:bottom w:type="dxa" w:w="80"/>
              <w:right w:type="dxa" w:w="120"/>
            </w:tcMar>
            <w:vAlign w:val="center"/>
          </w:tcPr>
          <w:p>
            <w:pPr>
              <w:jc w:val="left"/>
            </w:pPr>
            <w:r>
              <w:rPr>
                <w:b w:val="false"/>
                <w:bCs w:val="false"/>
                <w:color w:val="2C2C3E"/>
                <w:sz w:val="21"/>
                <w:szCs w:val="21"/>
              </w:rPr>
              <w:t xml:space="preserve">Gasto mensual fijo + fondo de emergencia de 6 meses. Sin esto, ninguna visión es sólida</w:t>
            </w:r>
          </w:p>
        </w:tc>
        <w:tc>
          <w:tcPr>
            <w:tcW w:type="dxa" w:w="2680"/>
            <w:tcBorders>
              <w:top w:val="single" w:color="E8E8EE" w:sz="2"/>
              <w:left w:val="single" w:color="E8E8EE" w:sz="2"/>
              <w:bottom w:val="single" w:color="E8E8EE" w:sz="2"/>
              <w:right w:val="single" w:color="E8E8EE" w:sz="2"/>
            </w:tcBorders>
            <w:shd w:fill="FFF5E8" w:val="clear"/>
            <w:tcMar>
              <w:top w:type="dxa" w:w="80"/>
              <w:left w:type="dxa" w:w="120"/>
              <w:bottom w:type="dxa" w:w="80"/>
              <w:right w:type="dxa" w:w="120"/>
            </w:tcMar>
            <w:vAlign w:val="center"/>
          </w:tcPr>
          <w:p>
            <w:pPr>
              <w:jc w:val="left"/>
            </w:pPr>
            <w:r>
              <w:rPr>
                <w:b w:val="false"/>
                <w:bCs w:val="false"/>
                <w:color w:val="2C2C3E"/>
                <w:sz w:val="21"/>
                <w:szCs w:val="21"/>
              </w:rPr>
              <w:t xml:space="preserve">Incluso si odias los números, esto debe estar claro. Acumula fondo de emergencia con transferencia automática</w:t>
            </w:r>
          </w:p>
        </w:tc>
      </w:tr>
      <w:tr>
        <w:tc>
          <w:tcPr>
            <w:tcW w:type="dxa" w:w="1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bCs/>
                <w:color w:val="7A4A1B"/>
                <w:sz w:val="21"/>
                <w:szCs w:val="21"/>
              </w:rPr>
              <w:t xml:space="preserve">Etapa 2</w:t>
            </w:r>
          </w:p>
        </w:tc>
        <w:tc>
          <w:tcPr>
            <w:tcW w:type="dxa" w:w="20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Fondo de visión</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Calcula costos específicos + ahorra mensualmente para realizarla. Ej: estudio, publicación, educación</w:t>
            </w:r>
          </w:p>
        </w:tc>
        <w:tc>
          <w:tcPr>
            <w:tcW w:type="dxa" w:w="2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Nombra tu visión y crea una cuenta dedicada. Un pequeño ritual cuando se deposita dinero</w:t>
            </w:r>
          </w:p>
        </w:tc>
      </w:tr>
      <w:tr>
        <w:tc>
          <w:tcPr>
            <w:tcW w:type="dxa" w:w="1200"/>
            <w:tcBorders>
              <w:top w:val="single" w:color="E8E8EE" w:sz="2"/>
              <w:left w:val="single" w:color="E8E8EE" w:sz="2"/>
              <w:bottom w:val="single" w:color="E8E8EE" w:sz="2"/>
              <w:right w:val="single" w:color="E8E8EE" w:sz="2"/>
            </w:tcBorders>
            <w:shd w:fill="FFF5E8" w:val="clear"/>
            <w:tcMar>
              <w:top w:type="dxa" w:w="80"/>
              <w:left w:type="dxa" w:w="120"/>
              <w:bottom w:type="dxa" w:w="80"/>
              <w:right w:type="dxa" w:w="120"/>
            </w:tcMar>
            <w:vAlign w:val="center"/>
          </w:tcPr>
          <w:p>
            <w:pPr>
              <w:jc w:val="left"/>
            </w:pPr>
            <w:r>
              <w:rPr>
                <w:b/>
                <w:bCs/>
                <w:color w:val="7A4A1B"/>
                <w:sz w:val="21"/>
                <w:szCs w:val="21"/>
              </w:rPr>
              <w:t xml:space="preserve">Etapa 3</w:t>
            </w:r>
          </w:p>
        </w:tc>
        <w:tc>
          <w:tcPr>
            <w:tcW w:type="dxa" w:w="2000"/>
            <w:tcBorders>
              <w:top w:val="single" w:color="E8E8EE" w:sz="2"/>
              <w:left w:val="single" w:color="E8E8EE" w:sz="2"/>
              <w:bottom w:val="single" w:color="E8E8EE" w:sz="2"/>
              <w:right w:val="single" w:color="E8E8EE" w:sz="2"/>
            </w:tcBorders>
            <w:shd w:fill="FFF5E8" w:val="clear"/>
            <w:tcMar>
              <w:top w:type="dxa" w:w="80"/>
              <w:left w:type="dxa" w:w="120"/>
              <w:bottom w:type="dxa" w:w="80"/>
              <w:right w:type="dxa" w:w="120"/>
            </w:tcMar>
            <w:vAlign w:val="center"/>
          </w:tcPr>
          <w:p>
            <w:pPr>
              <w:jc w:val="left"/>
            </w:pPr>
            <w:r>
              <w:rPr>
                <w:b w:val="false"/>
                <w:bCs w:val="false"/>
                <w:color w:val="2C2C3E"/>
                <w:sz w:val="21"/>
                <w:szCs w:val="21"/>
              </w:rPr>
              <w:t xml:space="preserve">Fondo de libertad</w:t>
            </w:r>
          </w:p>
        </w:tc>
        <w:tc>
          <w:tcPr>
            <w:tcW w:type="dxa" w:w="3480"/>
            <w:tcBorders>
              <w:top w:val="single" w:color="E8E8EE" w:sz="2"/>
              <w:left w:val="single" w:color="E8E8EE" w:sz="2"/>
              <w:bottom w:val="single" w:color="E8E8EE" w:sz="2"/>
              <w:right w:val="single" w:color="E8E8EE" w:sz="2"/>
            </w:tcBorders>
            <w:shd w:fill="FFF5E8" w:val="clear"/>
            <w:tcMar>
              <w:top w:type="dxa" w:w="80"/>
              <w:left w:type="dxa" w:w="120"/>
              <w:bottom w:type="dxa" w:w="80"/>
              <w:right w:type="dxa" w:w="120"/>
            </w:tcMar>
            <w:vAlign w:val="center"/>
          </w:tcPr>
          <w:p>
            <w:pPr>
              <w:jc w:val="left"/>
            </w:pPr>
            <w:r>
              <w:rPr>
                <w:b w:val="false"/>
                <w:bCs w:val="false"/>
                <w:color w:val="2C2C3E"/>
                <w:sz w:val="21"/>
                <w:szCs w:val="21"/>
              </w:rPr>
              <w:t xml:space="preserve">Presupuesto de placer sin culpa. Espacio legal para satisfacer Se de forma saludable</w:t>
            </w:r>
          </w:p>
        </w:tc>
        <w:tc>
          <w:tcPr>
            <w:tcW w:type="dxa" w:w="2680"/>
            <w:tcBorders>
              <w:top w:val="single" w:color="E8E8EE" w:sz="2"/>
              <w:left w:val="single" w:color="E8E8EE" w:sz="2"/>
              <w:bottom w:val="single" w:color="E8E8EE" w:sz="2"/>
              <w:right w:val="single" w:color="E8E8EE" w:sz="2"/>
            </w:tcBorders>
            <w:shd w:fill="FFF5E8" w:val="clear"/>
            <w:tcMar>
              <w:top w:type="dxa" w:w="80"/>
              <w:left w:type="dxa" w:w="120"/>
              <w:bottom w:type="dxa" w:w="80"/>
              <w:right w:type="dxa" w:w="120"/>
            </w:tcMar>
            <w:vAlign w:val="center"/>
          </w:tcPr>
          <w:p>
            <w:pPr>
              <w:jc w:val="left"/>
            </w:pPr>
            <w:r>
              <w:rPr>
                <w:b w:val="false"/>
                <w:bCs w:val="false"/>
                <w:color w:val="2C2C3E"/>
                <w:sz w:val="21"/>
                <w:szCs w:val="21"/>
              </w:rPr>
              <w:t xml:space="preserve">Este dinero debe gastarse sin culpa. La regla es solo no exceder el presupuesto</w:t>
            </w:r>
          </w:p>
        </w:tc>
      </w:tr>
      <w:tr>
        <w:tc>
          <w:tcPr>
            <w:tcW w:type="dxa" w:w="1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bCs/>
                <w:color w:val="7A4A1B"/>
                <w:sz w:val="21"/>
                <w:szCs w:val="21"/>
              </w:rPr>
              <w:t xml:space="preserve">Etapa 4</w:t>
            </w:r>
          </w:p>
        </w:tc>
        <w:tc>
          <w:tcPr>
            <w:tcW w:type="dxa" w:w="20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Fondo de legado</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Inversión a largo plazo + contribución social. El dinero que más motiva a VISION</w:t>
            </w:r>
          </w:p>
        </w:tc>
        <w:tc>
          <w:tcPr>
            <w:tcW w:type="dxa" w:w="2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Visualiza dónde estará este dinero en 10 años</w:t>
            </w:r>
          </w:p>
        </w:tc>
      </w:tr>
    </w:tbl>
    <w:p>
      <w:pPr>
        <w:spacing w:before="0" w:after="100"/>
      </w:pPr>
    </w:p>
    <w:p>
      <w:r>
        <w:br w:type="page"/>
      </w:r>
    </w:p>
    <w:p>
      <w:pPr>
        <w:pStyle w:val="Heading1"/>
      </w:pPr>
      <w:r>
        <w:rPr>
          <w:color w:val="7A4A1B"/>
        </w:rPr>
        <w:t xml:space="preserve">Parte 3  3 tipos de legado de VISION</w:t>
      </w:r>
    </w:p>
    <w:p>
      <w:pPr>
        <w:pStyle w:val="Heading2"/>
      </w:pPr>
      <w:r>
        <w:rPr>
          <w:color w:val="7A4A1B"/>
        </w:rPr>
        <w:t xml:space="preserve">Lo que el profeta deja en el mundo</w:t>
      </w:r>
    </w:p>
    <w:p>
      <w:pPr>
        <w:spacing w:before="40" w:after="80"/>
      </w:pPr>
      <w:r>
        <w:rPr>
          <w:sz w:val="22"/>
          <w:szCs w:val="22"/>
        </w:rPr>
        <w:t xml:space="preserve">¿Qué legado quiere dejar VISION? El legado de VISION no es solo material. De hecho, el legado más poderoso que VISION deja en el mundo es la perspicacia que cambia la forma en que otros ven el mundo.</w:t>
      </w:r>
    </w:p>
    <w:p>
      <w:pPr>
        <w:spacing w:before="0" w:after="80"/>
      </w:pPr>
    </w:p>
    <w:p>
      <w:pPr>
        <w:pStyle w:val="Heading3"/>
      </w:pPr>
      <w:r>
        <w:rPr>
          <w:color w:val="5B2D8E"/>
        </w:rPr>
        <w:t xml:space="preserve">Tipo de legado 1 — Legado de intuición</w:t>
      </w:r>
    </w:p>
    <w:p>
      <w:pPr>
        <w:spacing w:before="40" w:after="80"/>
      </w:pPr>
      <w:r>
        <w:rPr>
          <w:sz w:val="22"/>
          <w:szCs w:val="22"/>
        </w:rPr>
        <w:t xml:space="preserve">Los libros, investigaciones, ideas y conferencias que VISION publica cambian la cosmovisión de otros. Este es un legado que persiste después de la muerte.</w:t>
      </w:r>
    </w:p>
    <w:p>
      <w:pPr>
        <w:pStyle w:val="ListParagraph"/>
        <w:numPr>
          <w:ilvl w:val="0"/>
          <w:numId w:val="2"/>
        </w:numPr>
        <w:spacing w:before="30" w:after="30"/>
      </w:pPr>
      <w:r>
        <w:rPr>
          <w:sz w:val="21"/>
          <w:szCs w:val="21"/>
        </w:rPr>
        <w:t xml:space="preserve">Forma concreta: libros, ensayos, contenido, obras de arte, filosofía, teoría</w:t>
      </w:r>
    </w:p>
    <w:p>
      <w:pPr>
        <w:pStyle w:val="ListParagraph"/>
        <w:numPr>
          <w:ilvl w:val="0"/>
          <w:numId w:val="2"/>
        </w:numPr>
        <w:spacing w:before="30" w:after="30"/>
      </w:pPr>
      <w:r>
        <w:rPr>
          <w:sz w:val="21"/>
          <w:szCs w:val="21"/>
        </w:rPr>
        <w:t xml:space="preserve">Cómo dejar un legado de perspicacia para VISION: empieza a escribir o crear ahora. No tiene que ser perfecto.</w:t>
      </w:r>
    </w:p>
    <w:p>
      <w:pPr>
        <w:spacing w:before="0" w:after="80"/>
      </w:pPr>
    </w:p>
    <w:p>
      <w:pPr>
        <w:pStyle w:val="Heading3"/>
      </w:pPr>
      <w:r>
        <w:rPr>
          <w:color w:val="5B2D8E"/>
        </w:rPr>
        <w:t xml:space="preserve">Tipo de legado 2 — Legado de relación</w:t>
      </w:r>
    </w:p>
    <w:p>
      <w:pPr>
        <w:spacing w:before="40" w:after="80"/>
      </w:pPr>
      <w:r>
        <w:rPr>
          <w:sz w:val="22"/>
          <w:szCs w:val="22"/>
        </w:rPr>
        <w:t xml:space="preserve">Personas con las que VISION se conecta profundamente: el impacto que dejaste en sus vidas se convierte en tu legado. Semillas plantadas en hijos, estudiantes, parejas y amigos.</w:t>
      </w:r>
    </w:p>
    <w:p>
      <w:pPr>
        <w:pStyle w:val="ListParagraph"/>
        <w:numPr>
          <w:ilvl w:val="0"/>
          <w:numId w:val="2"/>
        </w:numPr>
        <w:spacing w:before="30" w:after="30"/>
      </w:pPr>
      <w:r>
        <w:rPr>
          <w:sz w:val="21"/>
          <w:szCs w:val="21"/>
        </w:rPr>
        <w:t xml:space="preserve">Forma concreta: mentoría, enseñanza, amistad genuina, influencia parental</w:t>
      </w:r>
    </w:p>
    <w:p>
      <w:pPr>
        <w:pStyle w:val="ListParagraph"/>
        <w:numPr>
          <w:ilvl w:val="0"/>
          <w:numId w:val="2"/>
        </w:numPr>
        <w:spacing w:before="30" w:after="30"/>
      </w:pPr>
      <w:r>
        <w:rPr>
          <w:sz w:val="21"/>
          <w:szCs w:val="21"/>
        </w:rPr>
        <w:t xml:space="preserve">Cómo dejar un legado de relaciones para VISION: invierte en conexiones profundas 1:1. Profundidad sobre amplitud.</w:t>
      </w:r>
    </w:p>
    <w:p>
      <w:pPr>
        <w:spacing w:before="0" w:after="80"/>
      </w:pPr>
    </w:p>
    <w:p>
      <w:pPr>
        <w:pStyle w:val="Heading3"/>
      </w:pPr>
      <w:r>
        <w:rPr>
          <w:color w:val="5B2D8E"/>
        </w:rPr>
        <w:t xml:space="preserve">Tipo de legado 3 — Legado de existencia</w:t>
      </w:r>
    </w:p>
    <w:p>
      <w:pPr>
        <w:spacing w:before="40" w:after="80"/>
      </w:pPr>
      <w:r>
        <w:rPr>
          <w:sz w:val="22"/>
          <w:szCs w:val="22"/>
        </w:rPr>
        <w:t xml:space="preserve">La vida misma que VISION vivió: cómo respondiste a los desafíos, qué valores mantuviste, cómo creciste, es tu legado. Esto se transmite más directamente a los testigos.</w:t>
      </w:r>
    </w:p>
    <w:p>
      <w:pPr>
        <w:pStyle w:val="ListParagraph"/>
        <w:numPr>
          <w:ilvl w:val="0"/>
          <w:numId w:val="2"/>
        </w:numPr>
        <w:spacing w:before="30" w:after="30"/>
      </w:pPr>
      <w:r>
        <w:rPr>
          <w:sz w:val="21"/>
          <w:szCs w:val="21"/>
        </w:rPr>
        <w:t xml:space="preserve">Forma concreta: forma de vida, elecciones éticas, historia de crecimiento</w:t>
      </w:r>
    </w:p>
    <w:p>
      <w:pPr>
        <w:pStyle w:val="ListParagraph"/>
        <w:numPr>
          <w:ilvl w:val="0"/>
          <w:numId w:val="2"/>
        </w:numPr>
        <w:spacing w:before="30" w:after="30"/>
      </w:pPr>
      <w:r>
        <w:rPr>
          <w:sz w:val="21"/>
          <w:szCs w:val="21"/>
        </w:rPr>
        <w:t xml:space="preserve">Cómo dejar un legado de existencia para VISION: el viaje mismo es tu legado. Completar este reporte es el comienzo.</w:t>
      </w:r>
    </w:p>
    <w:p>
      <w:pPr>
        <w:spacing w:before="0" w:after="80"/>
      </w:pPr>
    </w:p>
    <w:p>
      <w:pPr>
        <w:pStyle w:val="Heading3"/>
      </w:pPr>
      <w:r>
        <w:rPr>
          <w:color w:val="5B2D8E"/>
        </w:rPr>
        <w:t xml:space="preserve">Espacio para crear gráfico de vida</w:t>
      </w:r>
    </w:p>
    <w:p>
      <w:pPr>
        <w:spacing w:before="40" w:after="80"/>
      </w:pPr>
      <w:r>
        <w:rPr>
          <w:sz w:val="22"/>
          <w:szCs w:val="22"/>
        </w:rPr>
        <w:t xml:space="preserve">Dibuja tu gráfico de vida en el espacio de abajo. El eje X es la edad, el eje Y es la satisfacción de vida y el significado. Marca puntos según el nivel alto y bajo y conéctalos. Luego registra qué sucedió en cada punto de inflexión.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1B" w:sz="4"/>
              <w:left w:val="thick" w:color="7A4A1B" w:sz="16"/>
              <w:bottom w:val="single" w:color="7A4A1B" w:sz="4"/>
              <w:right w:val="single" w:color="E8E8EE" w:sz="2"/>
            </w:tcBorders>
            <w:shd w:fill="F4F4F8" w:val="clear"/>
            <w:tcMar>
              <w:top w:type="dxa" w:w="200"/>
              <w:left w:type="dxa" w:w="240"/>
              <w:bottom w:type="dxa" w:w="1800"/>
              <w:right w:type="dxa" w:w="240"/>
            </w:tcMar>
          </w:tcPr>
          <w:p>
            <w:r>
              <w:rPr>
                <w:color w:val="7A4A1B"/>
                <w:sz w:val="18"/>
                <w:szCs w:val="18"/>
              </w:rPr>
              <w:t xml:space="preserve">Alto ↑</w:t>
            </w:r>
          </w:p>
          <w:p>
            <w:r>
              <w:rPr>
                <w:color w:val="8899AA"/>
                <w:sz w:val="18"/>
                <w:szCs w:val="18"/>
              </w:rPr>
              <w:t xml:space="preserve">Significado/Satisfacción</w:t>
            </w:r>
          </w:p>
          <w:p>
            <w:r>
              <w:rPr>
                <w:sz w:val="21"/>
                <w:szCs w:val="21"/>
              </w:rPr>
              <w:t xml:space="preserve"> </w:t>
            </w:r>
          </w:p>
          <w:p>
            <w:r>
              <w:rPr>
                <w:sz w:val="21"/>
                <w:szCs w:val="21"/>
              </w:rPr>
              <w:t xml:space="preserve"> </w:t>
            </w:r>
          </w:p>
          <w:p>
            <w:r>
              <w:rPr>
                <w:sz w:val="21"/>
                <w:szCs w:val="21"/>
              </w:rPr>
              <w:t xml:space="preserve"> </w:t>
            </w:r>
          </w:p>
          <w:p>
            <w:r>
              <w:rPr>
                <w:color w:val="7A4A1B"/>
                <w:sz w:val="18"/>
                <w:szCs w:val="18"/>
              </w:rPr>
              <w:t xml:space="preserve">Bajo ↓                                    Edad →</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1B" w:sz="2"/>
              <w:left w:val="thick" w:color="7A4A1B" w:sz="12"/>
              <w:bottom w:val="single" w:color="7A4A1B" w:sz="2"/>
              <w:right w:val="single" w:color="7A4A1B" w:sz="2"/>
            </w:tcBorders>
            <w:shd w:fill="FFF5E8" w:val="clear"/>
            <w:tcMar>
              <w:top w:type="dxa" w:w="160"/>
              <w:left w:type="dxa" w:w="240"/>
              <w:bottom w:type="dxa" w:w="160"/>
              <w:right w:type="dxa" w:w="240"/>
            </w:tcMar>
          </w:tcPr>
          <w:p>
            <w:pPr>
              <w:spacing w:before="0" w:after="40"/>
            </w:pPr>
            <w:r>
              <w:rPr>
                <w:b/>
                <w:bCs/>
                <w:color w:val="7A4A1B"/>
                <w:sz w:val="21"/>
                <w:szCs w:val="21"/>
              </w:rPr>
              <w:t xml:space="preserve">🌾  Pregunta después del gráfico de vida</w:t>
            </w:r>
          </w:p>
          <w:p>
            <w:pPr>
              <w:spacing w:before="40" w:after="40"/>
            </w:pPr>
            <w:r>
              <w:rPr>
                <w:sz w:val="10"/>
                <w:szCs w:val="10"/>
              </w:rPr>
              <w:t xml:space="preserve"> </w:t>
            </w:r>
          </w:p>
          <w:p>
            <w:pPr>
              <w:spacing w:before="40" w:after="40"/>
            </w:pPr>
            <w:r>
              <w:rPr>
                <w:color w:val="2C2C3E"/>
                <w:sz w:val="21"/>
                <w:szCs w:val="21"/>
              </w:rPr>
              <w:t xml:space="preserve">Punto más alto: ¿Qué tenías entonces? ¿Puedes crear más de eso ahora?</w:t>
            </w:r>
          </w:p>
          <w:p>
            <w:pPr>
              <w:spacing w:before="40" w:after="40"/>
            </w:pPr>
            <w:r>
              <w:rPr>
                <w:color w:val="2C2C3E"/>
                <w:sz w:val="21"/>
                <w:szCs w:val="21"/>
              </w:rPr>
              <w:t xml:space="preserve">Punto más bajo: ¿Qué sombra de VISION estaba activa entonces? ¿Qué es diferente ahora?</w:t>
            </w:r>
          </w:p>
          <w:p>
            <w:pPr>
              <w:spacing w:before="40" w:after="40"/>
            </w:pPr>
            <w:r>
              <w:rPr>
                <w:color w:val="2C2C3E"/>
                <w:sz w:val="21"/>
                <w:szCs w:val="21"/>
              </w:rPr>
              <w:t xml:space="preserve">Gráfico hacia adelante: ¿En qué dirección quieres dibujarlo? ¿Cuándo y qué será el próximo punto de inflexión?</w:t>
            </w:r>
          </w:p>
        </w:tc>
      </w:tr>
    </w:tbl>
    <w:p>
      <w:pPr>
        <w:spacing w:before="0" w:after="80"/>
      </w:pPr>
    </w:p>
    <w:p>
      <w:pPr>
        <w:pBdr>
          <w:bottom w:val="single" w:color="7A4A1B" w:sz="4"/>
        </w:pBdr>
        <w:spacing w:before="60" w:after="60"/>
      </w:pPr>
    </w:p>
    <w:p>
      <w:pPr>
        <w:spacing w:before="0" w:after="40"/>
      </w:pPr>
    </w:p>
    <w:p>
      <w:pPr>
        <w:jc w:val="center"/>
      </w:pPr>
      <w:r>
        <w:rPr>
          <w:b/>
          <w:bCs/>
          <w:color w:val="7A4A1B"/>
          <w:sz w:val="22"/>
          <w:szCs w:val="22"/>
        </w:rPr>
        <w:t xml:space="preserve">Cuando tu visión se encuentra con la abundancia, el mundo se vuelve más hermoso.</w:t>
      </w:r>
    </w:p>
    <w:p>
      <w:pPr>
        <w:spacing w:before="0" w:after="60"/>
      </w:pPr>
    </w:p>
    <w:p>
      <w:pPr>
        <w:jc w:val="center"/>
      </w:pPr>
      <w:r>
        <w:rPr>
          <w:color w:val="8899AA"/>
          <w:sz w:val="18"/>
          <w:szCs w:val="18"/>
        </w:rPr>
        <w:t xml:space="preserve">© ShiningShadow  ·  Shadowgram VISION  ·  Apéndice C: Harvest Moon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8899AA"/>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A4A1B" w:sz="4"/>
      </w:pBdr>
      <w:tabs>
        <w:tab w:val="right" w:pos="9360"/>
      </w:tabs>
      <w:spacing w:before="0" w:after="80"/>
    </w:pPr>
    <w:r>
      <w:rPr>
        <w:color w:val="8899AA"/>
        <w:sz w:val="18"/>
        <w:szCs w:val="18"/>
      </w:rPr>
      <w:t xml:space="preserve">SHADOWGRAM  ·  VISION Master Series</w:t>
    </w:r>
    <w:r>
      <w:rPr>
        <w:color w:val="7A4A1B"/>
        <w:sz w:val="18"/>
        <w:szCs w:val="18"/>
      </w:rPr>
      <w:t xml:space="preserve">	부와 유산 설계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3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2E3A8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3A8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2026-02-20T14:56:54.369Z</dcterms:created>
  <dcterms:modified xsi:type="dcterms:W3CDTF">2026-02-20T14:56:54.369Z</dcterms:modified>
</cp:coreProperties>
</file>

<file path=docProps/custom.xml><?xml version="1.0" encoding="utf-8"?>
<Properties xmlns="http://schemas.openxmlformats.org/officeDocument/2006/custom-properties" xmlns:vt="http://schemas.openxmlformats.org/officeDocument/2006/docPropsVTypes"/>
</file>