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HARMONY</w:t>
      </w:r>
    </w:p>
    <w:p>
      <w:pPr>
        <w:spacing w:before="0" w:after="80"/>
        <w:jc w:val="center"/>
      </w:pPr>
      <w:r>
        <w:rPr>
          <w:b/>
          <w:bCs/>
          <w:color w:val="3D8B37"/>
          <w:sz w:val="36"/>
          <w:szCs w:val="36"/>
        </w:rPr>
        <w:t xml:space="preserve">The Explorer  |  연결자 — 심층</w:t>
      </w:r>
    </w:p>
    <w:p>
      <w:pPr>
        <w:spacing w:before="0" w:after="60"/>
        <w:jc w:val="center"/>
      </w:pPr>
      <w:r>
        <w:rPr>
          <w:color w:val="8899AA"/>
          <w:sz w:val="24"/>
          <w:szCs w:val="24"/>
        </w:rPr>
        <w:t xml:space="preserve">Ti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Ti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 xml:space="preserve">7부  돈 심층 — HARMONY형의 재정 그림자와 성장 로드맵</w:t>
      </w:r>
    </w:p>
    <w:p>
      <w:pPr>
        <w:pStyle w:val="Heading2"/>
      </w:pPr>
      <w:r>
        <w:t xml:space="preserve">돈과 관련된 4가지 그림자 패턴</w:t>
      </w:r>
    </w:p>
    <w:p>
      <w:pPr>
        <w:spacing w:before="0" w:after="160"/>
      </w:pPr>
      <w:r>
        <w:rPr/>
        <w:t xml:space="preserve">Tier 1에서 살펴본 첫 번째 패턴 외에도, HARMONY형이 돈과 관계를 맺을 때 반복적으로 등장하는 그림자가 있습니다.</w:t>
      </w:r>
    </w:p>
    <w:p>
      <w:pPr>
        <w:pStyle w:val="Heading3"/>
      </w:pPr>
      <w:r>
        <w:t xml:space="preserve">패턴 1  저가 제공 패턴 — ’이 사람한테 이 가격은 너무 많은 것 같아’</w:t>
      </w:r>
    </w:p>
    <w:p>
      <w:pPr>
        <w:spacing w:before="0" w:after="120"/>
      </w:pPr>
      <w:r>
        <w:rPr/>
        <w:t xml:space="preserve">상대방의 감정적 반응을 먼저 고려합니다. 비싸다는 말을 들을까봐, 또는 관계가 불편해질까봐 가격을 낮춥니다. 결과적으로 시장 가격보다 20~40% 낮게 서비스를 제공하는 패턴이 굳어집니다.</w:t>
      </w:r>
    </w:p>
    <w:p>
      <w:pPr>
        <w:spacing w:before="0" w:after="160"/>
      </w:pPr>
      <w:r>
        <w:rPr/>
        <w:t xml:space="preserve">전략: 가격 표준화: 모든 고객에게 동일한 가격 적용. 가격표를 미리 공개하면 개인별 협상 불필요. 내 가격이 낮으면 내 서비스의 가치도 낮아 보인다는 인식 전환.</w:t>
      </w:r>
    </w:p>
    <w:p>
      <w:pPr>
        <w:pStyle w:val="Heading3"/>
      </w:pPr>
      <w:r>
        <w:t xml:space="preserve">패턴 2  무료 제공 과잉 — ’이 정도는 그냥 도와줘야지’</w:t>
      </w:r>
    </w:p>
    <w:p>
      <w:pPr>
        <w:spacing w:before="0" w:after="120"/>
      </w:pPr>
      <w:r>
        <w:rPr/>
        <w:t xml:space="preserve">Fe는 도움 자체에서 만족을 얻습니다. 그 결과 유료화해야 할 조언, 서비스, 시간을 무료로 제공합니다. 이것이 습관화되면 타인도 당연하게 무료를 기대합니다.</w:t>
      </w:r>
    </w:p>
    <w:p>
      <w:pPr>
        <w:spacing w:before="0" w:after="160"/>
      </w:pPr>
      <w:r>
        <w:rPr/>
        <w:t xml:space="preserve">전략: 무료 제공 한도를 명확히 설정: 월 X시간, X회까지만 무료. 무료 샘플과 유료 서비스의 경계를 명시적으로 구분.</w:t>
      </w:r>
    </w:p>
    <w:p>
      <w:pPr>
        <w:pStyle w:val="Heading3"/>
      </w:pPr>
      <w:r>
        <w:t xml:space="preserve">패턴 3  타인 위한 과잉 소비 — ’내 것보다 줄 때 더 기분이 좋아’</w:t>
      </w:r>
    </w:p>
    <w:p>
      <w:pPr>
        <w:spacing w:before="0" w:after="120"/>
      </w:pPr>
      <w:r>
        <w:rPr/>
        <w:t xml:space="preserve">자신을 위한 소비보다 타인을 위한 선물·기여에 더 기꺼이 지출합니다. 자신의 재정이 빠듯해도 중요한 사람의 기념일, 선물, 기부에 과하게 씁니다.</w:t>
      </w:r>
    </w:p>
    <w:p>
      <w:pPr>
        <w:spacing w:before="0" w:after="160"/>
      </w:pPr>
      <w:r>
        <w:rPr/>
        <w:t xml:space="preserve">전략: 자기 재정 먼저 챙기기: 비행기 산소마스크 원칙. 자기 저축·투자를 자동화한 후, 남은 금액에서 타인을 위해 지출.</w:t>
      </w:r>
    </w:p>
    <w:p>
      <w:pPr>
        <w:pStyle w:val="Heading3"/>
      </w:pPr>
      <w:r>
        <w:t xml:space="preserve">패턴 4  재정 충돌 회피 — ’돈 얘기는 불편하니까 나중에’</w:t>
      </w:r>
    </w:p>
    <w:p>
      <w:pPr>
        <w:spacing w:before="0" w:after="120"/>
      </w:pPr>
      <w:r>
        <w:rPr/>
        <w:t xml:space="preserve">Ti 열등기능으로 인해 재정 계약, 조건 협상, 미지급금 청구 같은 딱딱한 대화를 회피합니다. 이것이 사업 관계에서 손실로 이어집니다.</w:t>
      </w:r>
    </w:p>
    <w:p>
      <w:pPr>
        <w:spacing w:before="0" w:after="160"/>
      </w:pPr>
      <w:r>
        <w:rPr/>
        <w:t xml:space="preserve">전략: 재정 조건을 서면으로 미리 명시. 돈 얘기가 아닌 서로를 위한 명확한 약속으로 재프레이밍.</w:t>
      </w:r>
    </w:p>
    <w:p>
      <w:pPr>
        <w:pStyle w:val="Heading2"/>
      </w:pPr>
      <w:r>
        <w:t xml:space="preserve">HARMONY형의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5A"/>
          </w:tcPr>
          <w:p>
            <w:pPr>
              <w:jc w:val="center"/>
            </w:pPr>
            <w:r>
              <w:rPr>
                <w:b/>
                <w:color w:val="FFFFFF"/>
                <w:sz w:val="20"/>
              </w:rPr>
              <w:t>단계</w:t>
            </w:r>
          </w:p>
        </w:tc>
        <w:tc>
          <w:tcPr>
            <w:tcW w:w="2400" w:type="dxa"/>
            <w:shd w:val="clear" w:color="auto" w:fill="1A6B5A"/>
          </w:tcPr>
          <w:p>
            <w:pPr>
              <w:jc w:val="center"/>
            </w:pPr>
            <w:r>
              <w:rPr>
                <w:b/>
                <w:color w:val="FFFFFF"/>
                <w:sz w:val="20"/>
              </w:rPr>
              <w:t>핵심 목표</w:t>
            </w:r>
          </w:p>
        </w:tc>
        <w:tc>
          <w:tcPr>
            <w:tcW w:w="2400" w:type="dxa"/>
            <w:shd w:val="clear" w:color="auto" w:fill="1A6B5A"/>
          </w:tcPr>
          <w:p>
            <w:pPr>
              <w:jc w:val="center"/>
            </w:pPr>
            <w:r>
              <w:rPr>
                <w:b/>
                <w:color w:val="FFFFFF"/>
                <w:sz w:val="20"/>
              </w:rPr>
              <w:t>극복해야 할 그림자</w:t>
            </w:r>
          </w:p>
        </w:tc>
        <w:tc>
          <w:tcPr>
            <w:tcW w:w="2400" w:type="dxa"/>
            <w:shd w:val="clear" w:color="auto" w:fill="1A6B5A"/>
          </w:tcPr>
          <w:p>
            <w:pPr>
              <w:jc w:val="center"/>
            </w:pPr>
            <w:r>
              <w:rPr>
                <w:b/>
                <w:color w:val="FFFFFF"/>
                <w:sz w:val="20"/>
              </w:rPr>
              <w:t>성공 지표</w:t>
            </w:r>
          </w:p>
        </w:tc>
      </w:tr>
      <w:tr>
        <w:tc>
          <w:tcPr>
            <w:tcW w:w="1440" w:type="dxa"/>
            <w:shd w:val="clear" w:color="auto" w:fill="EEF2FF"/>
          </w:tcPr>
          <w:p>
            <w:r>
              <w:rPr>
                <w:b/>
                <w:sz w:val="20"/>
              </w:rPr>
              <w:t xml:space="preserve">1단계
가격 정상화</w:t>
            </w:r>
          </w:p>
        </w:tc>
        <w:tc>
          <w:tcPr>
            <w:tcW w:w="2400" w:type="dxa"/>
            <w:shd w:val="clear" w:color="auto" w:fill="EEF2FF"/>
          </w:tcPr>
          <w:p>
            <w:r>
              <w:rPr>
                <w:sz w:val="20"/>
              </w:rPr>
              <w:t xml:space="preserve">시장 가치에 맞는 가격 책정</w:t>
            </w:r>
          </w:p>
        </w:tc>
        <w:tc>
          <w:tcPr>
            <w:tcW w:w="2400" w:type="dxa"/>
            <w:shd w:val="clear" w:color="auto" w:fill="EEF2FF"/>
          </w:tcPr>
          <w:p>
            <w:r>
              <w:rPr>
                <w:sz w:val="20"/>
              </w:rPr>
              <w:t xml:space="preserve">저가 제공, 무료 과잉</w:t>
            </w:r>
          </w:p>
        </w:tc>
        <w:tc>
          <w:tcPr>
            <w:tcW w:w="2400" w:type="dxa"/>
            <w:shd w:val="clear" w:color="auto" w:fill="EEF2FF"/>
          </w:tcPr>
          <w:p>
            <w:r>
              <w:rPr>
                <w:sz w:val="20"/>
              </w:rPr>
              <w:t xml:space="preserve">서비스 가격 시장 평균 달성</w:t>
            </w:r>
          </w:p>
        </w:tc>
      </w:tr>
      <w:tr>
        <w:tc>
          <w:tcPr>
            <w:tcW w:w="1440" w:type="dxa"/>
            <w:shd w:val="clear" w:color="auto" w:fill="EEF2FF"/>
          </w:tcPr>
          <w:p>
            <w:r>
              <w:rPr>
                <w:b/>
                <w:sz w:val="20"/>
              </w:rPr>
              <w:t xml:space="preserve">2단계
수익 구조화</w:t>
            </w:r>
          </w:p>
        </w:tc>
        <w:tc>
          <w:tcPr>
            <w:tcW w:w="2400" w:type="dxa"/>
            <w:shd w:val="clear" w:color="auto" w:fill="EEF2FF"/>
          </w:tcPr>
          <w:p>
            <w:r>
              <w:rPr>
                <w:sz w:val="20"/>
              </w:rPr>
              <w:t xml:space="preserve">Fe 강점을 확장 가능한 구조로</w:t>
            </w:r>
          </w:p>
        </w:tc>
        <w:tc>
          <w:tcPr>
            <w:tcW w:w="2400" w:type="dxa"/>
            <w:shd w:val="clear" w:color="auto" w:fill="EEF2FF"/>
          </w:tcPr>
          <w:p>
            <w:r>
              <w:rPr>
                <w:sz w:val="20"/>
              </w:rPr>
              <w:t xml:space="preserve">개인 관계 의존, 시간 교환</w:t>
            </w:r>
          </w:p>
        </w:tc>
        <w:tc>
          <w:tcPr>
            <w:tcW w:w="2400" w:type="dxa"/>
            <w:shd w:val="clear" w:color="auto" w:fill="EEF2FF"/>
          </w:tcPr>
          <w:p>
            <w:r>
              <w:rPr>
                <w:sz w:val="20"/>
              </w:rPr>
              <w:t xml:space="preserve">그룹 서비스, 콘텐츠 수익화</w:t>
            </w:r>
          </w:p>
        </w:tc>
      </w:tr>
      <w:tr>
        <w:tc>
          <w:tcPr>
            <w:tcW w:w="1440" w:type="dxa"/>
            <w:shd w:val="clear" w:color="auto" w:fill="EEF2FF"/>
          </w:tcPr>
          <w:p>
            <w:r>
              <w:rPr>
                <w:b/>
                <w:sz w:val="20"/>
              </w:rPr>
              <w:t xml:space="preserve">3단계
임팩트 스케일</w:t>
            </w:r>
          </w:p>
        </w:tc>
        <w:tc>
          <w:tcPr>
            <w:tcW w:w="2400" w:type="dxa"/>
            <w:shd w:val="clear" w:color="auto" w:fill="EEF2FF"/>
          </w:tcPr>
          <w:p>
            <w:r>
              <w:rPr>
                <w:sz w:val="20"/>
              </w:rPr>
              <w:t xml:space="preserve">더 많은 사람에게 더 큰 가치 전달</w:t>
            </w:r>
          </w:p>
        </w:tc>
        <w:tc>
          <w:tcPr>
            <w:tcW w:w="2400" w:type="dxa"/>
            <w:shd w:val="clear" w:color="auto" w:fill="EEF2FF"/>
          </w:tcPr>
          <w:p>
            <w:r>
              <w:rPr>
                <w:sz w:val="20"/>
              </w:rPr>
              <w:t xml:space="preserve">자기 재정 소홀</w:t>
            </w:r>
          </w:p>
        </w:tc>
        <w:tc>
          <w:tcPr>
            <w:tcW w:w="2400" w:type="dxa"/>
            <w:shd w:val="clear" w:color="auto" w:fill="EEF2FF"/>
          </w:tcPr>
          <w:p>
            <w:r>
              <w:rPr>
                <w:sz w:val="20"/>
              </w:rPr>
              <w:t xml:space="preserve">사회적 임팩트 + 재정 목표 동시 달성</w:t>
            </w:r>
          </w:p>
        </w:tc>
      </w:tr>
    </w:tbl>
    <w:p>
      <w:pPr>
        <w:spacing w:before="0" w:after="120"/>
      </w:pPr>
    </w:p>
    <w:p>
      <w:pPr>
        <w:pStyle w:val="Heading2"/>
      </w:pPr>
      <w:r>
        <w:t xml:space="preserve">HARMONY형에게 맞는 저축·투자 접근법</w:t>
      </w:r>
    </w:p>
    <w:p>
      <w:pPr>
        <w:spacing w:before="0" w:after="100"/>
      </w:pPr>
      <w:r>
        <w:rPr/>
        <w:t xml:space="preserve">①  자기 재정 먼저 자동화:  비행기 산소마스크 원칙. 저축·투자 자동화 후 나머지로 생활</w:t>
      </w:r>
    </w:p>
    <w:p>
      <w:pPr>
        <w:spacing w:before="0" w:after="100"/>
      </w:pPr>
      <w:r>
        <w:rPr/>
        <w:t xml:space="preserve">②  ESG·임팩트 투자:  가치 정렬 투자로 동기 유지. 사회적 책임 ETF, 임팩트 펀드</w:t>
      </w:r>
    </w:p>
    <w:p>
      <w:pPr>
        <w:spacing w:before="0" w:after="100"/>
      </w:pPr>
      <w:r>
        <w:rPr/>
        <w:t xml:space="preserve">③  관계 투자 예산:  인맥·관계에 의도적 투자. 월 일정 금액을 네트워크 강화에 배분</w:t>
      </w:r>
    </w:p>
    <w:p>
      <w:pPr>
        <w:spacing w:before="0" w:after="100"/>
      </w:pPr>
      <w:r>
        <w:rPr/>
        <w:t xml:space="preserve">④  Ti 파트너 협업:  재정 분석은 숫자형 파트너에게 위임. 회계사, 재무 상담사 활용</w:t>
      </w:r>
    </w:p>
    <w:p>
      <w:pPr>
        <w:spacing w:before="0" w:after="80"/>
      </w:pPr>
      <w:r>
        <w:rPr>
          <w:b/>
          <w:color w:val="555555"/>
        </w:rPr>
        <w:t xml:space="preserve">이 주제의 완전한 통합 → Tier 3 Master Report에서</w:t>
      </w:r>
    </w:p>
    <w:p>
      <w:r>
        <w:br w:type="page"/>
      </w:r>
    </w:p>
    <w:p>
      <w:pPr>
        <w:pStyle w:val="Heading1"/>
      </w:pPr>
      <w:r>
        <w:t>7부  돈 심층 — HARMONY형의 재정 그림자와 성장 로드맵</w:t>
      </w:r>
    </w:p>
    <w:p>
      <w:pPr>
        <w:pStyle w:val="Heading2"/>
      </w:pPr>
      <w:r>
        <w:t>돈과 관련된 4가지 그림자 패턴</w:t>
      </w:r>
    </w:p>
    <w:p>
      <w:pPr>
        <w:spacing w:before="0" w:after="160"/>
      </w:pPr>
      <w:r>
        <w:t xml:space="preserve">Tier 1에서 살펴본 “완성 직전 이탈” 패턴 외에도, HARMONY형이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Ti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Ti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HARMONY형의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연결자</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HARMONY형에게 맞는 저축·투자 접근법</w:t>
      </w:r>
    </w:p>
    <w:p>
      <w:pPr>
        <w:spacing w:before="0" w:after="120"/>
      </w:pPr>
      <w:r>
        <w:t xml:space="preserve">Fe 주기능은 새로운 투자 기회에 흥분하기 쉽습니다. 그리고 Ti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HARMONY형은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HARMONY형에게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HARMONY형의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Fe 주기능의 빛과 Ti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Ti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Ti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HARMONY형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Ti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Ti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HARMONY형'의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HARMONY형이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Ti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 그림자 작업의 핵심 원칙</w:t>
            </w:r>
          </w:p>
          <w:p>
            <w:pPr>
              <w:spacing w:before="40" w:after="40"/>
            </w:pPr>
            <w:r>
              <w:rPr>
                <w:sz w:val="10"/>
                <w:szCs w:val="10"/>
              </w:rPr>
              <w:t xml:space="preserve"> </w:t>
            </w:r>
          </w:p>
          <w:p>
            <w:pPr>
              <w:spacing w:before="40" w:after="40"/>
            </w:pPr>
            <w:r>
              <w:rPr>
                <w:color w:val="2C3040"/>
                <w:sz w:val="21"/>
                <w:szCs w:val="21"/>
              </w:rPr>
              <w:t xml:space="preserve">Ti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HARMONY형에게 Si는 열등기능 — 가장 덜 발달한 동시에 가장 큰 성장 잠재력이 숨어 있는 곳입니다.</w:t>
      </w:r>
    </w:p>
    <w:p>
      <w:pPr>
        <w:spacing w:before="40" w:after="80"/>
      </w:pPr>
      <w:r>
        <w:rPr>
          <w:sz w:val="22"/>
          <w:szCs w:val="22"/>
        </w:rPr>
        <w:t xml:space="preserve">Si를 적으로 보는 HARMONY형이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HARMONY형에게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HARMONY형의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연결자</w:t>
      </w:r>
    </w:p>
    <w:p>
      <w:pPr>
        <w:spacing w:before="40" w:after="80"/>
      </w:pPr>
      <w:r>
        <w:rPr>
          <w:sz w:val="22"/>
          <w:szCs w:val="22"/>
        </w:rPr>
        <w:t xml:space="preserve">HARMONY형의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HARMONY형은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HARMONY형에게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HARMONY형에게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HARMONY형은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연결자의 완성</w:t>
      </w:r>
    </w:p>
    <w:p>
      <w:pPr>
        <w:spacing w:before="40" w:after="80"/>
      </w:pPr>
      <w:r>
        <w:rPr>
          <w:sz w:val="22"/>
          <w:szCs w:val="22"/>
        </w:rPr>
        <w:t xml:space="preserve">40대 이후 건강한 HARMONY형은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Ti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HARMONY형에게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HARMONY형의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HARMONY형이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HARMONY형이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HARMONY형이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HARMONY형을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Ti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HARMONY형은 강력한 창조적 에너지를 가지지만, '미완성 작품의 묘지'가 가장 흔한 함정입니다. HARMONY형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HARMONY형의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Ti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Ti 그림자 탐정 (1-7일)</w:t>
      </w:r>
    </w:p>
    <w:p>
      <w:pPr>
        <w:spacing w:before="40" w:after="80"/>
      </w:pPr>
      <w:r>
        <w:rPr>
          <w:sz w:val="22"/>
          <w:szCs w:val="22"/>
        </w:rPr>
        <w:t xml:space="preserve">목표: 나의 Ti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'Ti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Ti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HARMONY형의 관계 패턴에서 Ti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Ti 그림자의 4가지 패턴을 이름 붙였고, Si를 의식적으로 경험했으며, 30일 퀘스트를 통해 작은 완성의 경험을 만들었습니다. 이것은 작아 보이지만 HARMONY형에게는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연결자에서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연결자가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