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LOGIC</w:t>
      </w:r>
    </w:p>
    <w:p>
      <w:pPr>
        <w:spacing w:before="0" w:after="80"/>
        <w:jc w:val="center"/>
      </w:pPr>
      <w:r>
        <w:rPr>
          <w:b/>
          <w:bCs/>
          <w:color w:val="3D8B37"/>
          <w:sz w:val="36"/>
          <w:szCs w:val="36"/>
        </w:rPr>
        <w:t xml:space="preserve">The Explorer  |  분석가 — 심층</w:t>
      </w:r>
    </w:p>
    <w:p>
      <w:pPr>
        <w:spacing w:before="0" w:after="60"/>
        <w:jc w:val="center"/>
      </w:pPr>
      <w:r>
        <w:rPr>
          <w:color w:val="8899AA"/>
          <w:sz w:val="24"/>
          <w:szCs w:val="24"/>
        </w:rPr>
        <w:t xml:space="preserve">Fe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Fe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LOGIC형의 재정 그림자와 성장 로드맵</w:t>
      </w:r>
    </w:p>
    <w:p>
      <w:pPr>
        <w:pStyle w:val="Heading2"/>
      </w:pPr>
      <w:r>
        <w:t xml:space="preserve">돈과 관련된 4가지 그림자 패턴</w:t>
      </w:r>
    </w:p>
    <w:p>
      <w:pPr>
        <w:spacing w:before="0" w:after="160"/>
      </w:pPr>
      <w:r>
        <w:rPr/>
        <w:t xml:space="preserve">Tier 1에서 살펴본 첫 번째 패턴 외에도, LOGIC형이 돈과 관계를 맺을 때 반복적으로 등장하는 그림자가 있습니다.</w:t>
      </w:r>
    </w:p>
    <w:p>
      <w:pPr>
        <w:pStyle w:val="Heading3"/>
      </w:pPr>
      <w:r>
        <w:t xml:space="preserve">패턴 1  분석 마비 — ’아직 변수를 다 파악하지 못했어’</w:t>
      </w:r>
    </w:p>
    <w:p>
      <w:pPr>
        <w:spacing w:before="0" w:after="120"/>
      </w:pPr>
      <w:r>
        <w:rPr/>
        <w:t xml:space="preserve">Ti는 모든 변수를 이해해야 결정을 내릴 수 있다고 느낍니다. 그러나 현실의 투자·사업은 불완전한 정보 속에서 결정해야 합니다. 완벽한 분석을 기다리다가 최적의 진입 시점을 놓칩니다.</w:t>
      </w:r>
    </w:p>
    <w:p>
      <w:pPr>
        <w:spacing w:before="0" w:after="160"/>
      </w:pPr>
      <w:r>
        <w:rPr/>
        <w:t xml:space="preserve">전략: 결정 기준을 미리 설정: 이 조건이 충족되면 실행. 분석에 시간 제한 설정(예: 2주). 완벽한 분석보다 빠른 피드백 루프가 더 많은 정보를 줌.</w:t>
      </w:r>
    </w:p>
    <w:p>
      <w:pPr>
        <w:pStyle w:val="Heading3"/>
      </w:pPr>
      <w:r>
        <w:t xml:space="preserve">패턴 2  시장 감각 부족 — ’이론은 맞는데 왜 안 팔리지?’</w:t>
      </w:r>
    </w:p>
    <w:p>
      <w:pPr>
        <w:spacing w:before="0" w:after="120"/>
      </w:pPr>
      <w:r>
        <w:rPr/>
        <w:t xml:space="preserve">Ti는 내부 논리가 완벽하면 시장에서도 인정받을 것이라고 기대합니다. 그러나 시장은 논리가 아닌 감정으로 움직입니다. 기술적으로 완벽한 제품이 팔리지 않고, 불완전한 제품이 잘 팔리는 현실에 당혹감을 느낍니다.</w:t>
      </w:r>
    </w:p>
    <w:p>
      <w:pPr>
        <w:spacing w:before="0" w:after="160"/>
      </w:pPr>
      <w:r>
        <w:rPr/>
        <w:t xml:space="preserve">전략: Fe 약점을 파트너나 마케터로 보완. 타깃 고객 10명과 직접 대화하는 시장 체감 훈련. 기능보다 감정적 가치를 먼저 설계.</w:t>
      </w:r>
    </w:p>
    <w:p>
      <w:pPr>
        <w:pStyle w:val="Heading3"/>
      </w:pPr>
      <w:r>
        <w:t xml:space="preserve">패턴 3  가격 책정 어려움 — ’내 작업의 가치를 어떻게 수치화해?’</w:t>
      </w:r>
    </w:p>
    <w:p>
      <w:pPr>
        <w:spacing w:before="0" w:after="120"/>
      </w:pPr>
      <w:r>
        <w:rPr/>
        <w:t xml:space="preserve">Ti는 내부 논리로 가치를 측정합니다. 그러나 시장 가격은 내부 논리가 아닌 타인이 얼마를 지불할 의향이 있는가로 결정됩니다. 자신의 작업 가치를 과소평가하거나, 시장 가격과 무관하게 원가 플러스 알파로 설정합니다.</w:t>
      </w:r>
    </w:p>
    <w:p>
      <w:pPr>
        <w:spacing w:before="0" w:after="160"/>
      </w:pPr>
      <w:r>
        <w:rPr/>
        <w:t xml:space="preserve">전략: 경쟁자 가격 조사. 가치 기반 가격책정(Value-Based Pricing) 학습. 가격을 올렸을 때의 시장 반응을 실험으로 측정.</w:t>
      </w:r>
    </w:p>
    <w:p>
      <w:pPr>
        <w:pStyle w:val="Heading3"/>
      </w:pPr>
      <w:r>
        <w:t xml:space="preserve">패턴 4  협업과 영업 회피 — ’혼자 잘 하면 되는데 왜 사람이 필요해?’</w:t>
      </w:r>
    </w:p>
    <w:p>
      <w:pPr>
        <w:spacing w:before="0" w:after="120"/>
      </w:pPr>
      <w:r>
        <w:rPr/>
        <w:t xml:space="preserve">Fe 열등기능이 타인과의 상호작용에 에너지를 소모시킵니다. 팀 관리, 영업, 네트워킹이 부담스럽고 비효율적으로 느껴집니다. 결과적으로 확장이 어려운 1인 구조에 갇힙니다.</w:t>
      </w:r>
    </w:p>
    <w:p>
      <w:pPr>
        <w:spacing w:before="0" w:after="160"/>
      </w:pPr>
      <w:r>
        <w:rPr/>
        <w:t xml:space="preserve">전략: 영업·협업을 잘 하는 파트너에게 위임. 외향 활동에 에너지 예산을 설정하고 예산 내에서만 실행.</w:t>
      </w:r>
    </w:p>
    <w:p>
      <w:pPr>
        <w:pStyle w:val="Heading2"/>
      </w:pPr>
      <w:r>
        <w:t xml:space="preserve">LOGIC형의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4A6B"/>
          </w:tcPr>
          <w:p>
            <w:pPr>
              <w:jc w:val="center"/>
            </w:pPr>
            <w:r>
              <w:rPr>
                <w:b/>
                <w:color w:val="FFFFFF"/>
                <w:sz w:val="20"/>
              </w:rPr>
              <w:t>단계</w:t>
            </w:r>
          </w:p>
        </w:tc>
        <w:tc>
          <w:tcPr>
            <w:tcW w:w="2400" w:type="dxa"/>
            <w:shd w:val="clear" w:color="auto" w:fill="1A4A6B"/>
          </w:tcPr>
          <w:p>
            <w:pPr>
              <w:jc w:val="center"/>
            </w:pPr>
            <w:r>
              <w:rPr>
                <w:b/>
                <w:color w:val="FFFFFF"/>
                <w:sz w:val="20"/>
              </w:rPr>
              <w:t>핵심 목표</w:t>
            </w:r>
          </w:p>
        </w:tc>
        <w:tc>
          <w:tcPr>
            <w:tcW w:w="2400" w:type="dxa"/>
            <w:shd w:val="clear" w:color="auto" w:fill="1A4A6B"/>
          </w:tcPr>
          <w:p>
            <w:pPr>
              <w:jc w:val="center"/>
            </w:pPr>
            <w:r>
              <w:rPr>
                <w:b/>
                <w:color w:val="FFFFFF"/>
                <w:sz w:val="20"/>
              </w:rPr>
              <w:t>극복해야 할 그림자</w:t>
            </w:r>
          </w:p>
        </w:tc>
        <w:tc>
          <w:tcPr>
            <w:tcW w:w="2400" w:type="dxa"/>
            <w:shd w:val="clear" w:color="auto" w:fill="1A4A6B"/>
          </w:tcPr>
          <w:p>
            <w:pPr>
              <w:jc w:val="center"/>
            </w:pPr>
            <w:r>
              <w:rPr>
                <w:b/>
                <w:color w:val="FFFFFF"/>
                <w:sz w:val="20"/>
              </w:rPr>
              <w:t>성공 지표</w:t>
            </w:r>
          </w:p>
        </w:tc>
      </w:tr>
      <w:tr>
        <w:tc>
          <w:tcPr>
            <w:tcW w:w="1440" w:type="dxa"/>
            <w:shd w:val="clear" w:color="auto" w:fill="EEF2FF"/>
          </w:tcPr>
          <w:p>
            <w:r>
              <w:rPr>
                <w:b/>
                <w:sz w:val="20"/>
              </w:rPr>
              <w:t xml:space="preserve">1단계
가치화</w:t>
            </w:r>
          </w:p>
        </w:tc>
        <w:tc>
          <w:tcPr>
            <w:tcW w:w="2400" w:type="dxa"/>
            <w:shd w:val="clear" w:color="auto" w:fill="EEF2FF"/>
          </w:tcPr>
          <w:p>
            <w:r>
              <w:rPr>
                <w:sz w:val="20"/>
              </w:rPr>
              <w:t xml:space="preserve">기술·분석 능력의 시장 가치 인식</w:t>
            </w:r>
          </w:p>
        </w:tc>
        <w:tc>
          <w:tcPr>
            <w:tcW w:w="2400" w:type="dxa"/>
            <w:shd w:val="clear" w:color="auto" w:fill="EEF2FF"/>
          </w:tcPr>
          <w:p>
            <w:r>
              <w:rPr>
                <w:sz w:val="20"/>
              </w:rPr>
              <w:t xml:space="preserve">분석 마비, 가격 책정 어려움</w:t>
            </w:r>
          </w:p>
        </w:tc>
        <w:tc>
          <w:tcPr>
            <w:tcW w:w="2400" w:type="dxa"/>
            <w:shd w:val="clear" w:color="auto" w:fill="EEF2FF"/>
          </w:tcPr>
          <w:p>
            <w:r>
              <w:rPr>
                <w:sz w:val="20"/>
              </w:rPr>
              <w:t xml:space="preserve">첫 프리랜싱 수익 달성</w:t>
            </w:r>
          </w:p>
        </w:tc>
      </w:tr>
      <w:tr>
        <w:tc>
          <w:tcPr>
            <w:tcW w:w="1440" w:type="dxa"/>
            <w:shd w:val="clear" w:color="auto" w:fill="EEF2FF"/>
          </w:tcPr>
          <w:p>
            <w:r>
              <w:rPr>
                <w:b/>
                <w:sz w:val="20"/>
              </w:rPr>
              <w:t xml:space="preserve">2단계
확장</w:t>
            </w:r>
          </w:p>
        </w:tc>
        <w:tc>
          <w:tcPr>
            <w:tcW w:w="2400" w:type="dxa"/>
            <w:shd w:val="clear" w:color="auto" w:fill="EEF2FF"/>
          </w:tcPr>
          <w:p>
            <w:r>
              <w:rPr>
                <w:sz w:val="20"/>
              </w:rPr>
              <w:t xml:space="preserve">1인 한계 극복, 파트너·팀 구성</w:t>
            </w:r>
          </w:p>
        </w:tc>
        <w:tc>
          <w:tcPr>
            <w:tcW w:w="2400" w:type="dxa"/>
            <w:shd w:val="clear" w:color="auto" w:fill="EEF2FF"/>
          </w:tcPr>
          <w:p>
            <w:r>
              <w:rPr>
                <w:sz w:val="20"/>
              </w:rPr>
              <w:t xml:space="preserve">협업 회피, 시장 감각 부족</w:t>
            </w:r>
          </w:p>
        </w:tc>
        <w:tc>
          <w:tcPr>
            <w:tcW w:w="2400" w:type="dxa"/>
            <w:shd w:val="clear" w:color="auto" w:fill="EEF2FF"/>
          </w:tcPr>
          <w:p>
            <w:r>
              <w:rPr>
                <w:sz w:val="20"/>
              </w:rPr>
              <w:t xml:space="preserve">팀 기반 수익 구조</w:t>
            </w:r>
          </w:p>
        </w:tc>
      </w:tr>
      <w:tr>
        <w:tc>
          <w:tcPr>
            <w:tcW w:w="1440" w:type="dxa"/>
            <w:shd w:val="clear" w:color="auto" w:fill="EEF2FF"/>
          </w:tcPr>
          <w:p>
            <w:r>
              <w:rPr>
                <w:b/>
                <w:sz w:val="20"/>
              </w:rPr>
              <w:t xml:space="preserve">3단계
레버리지</w:t>
            </w:r>
          </w:p>
        </w:tc>
        <w:tc>
          <w:tcPr>
            <w:tcW w:w="2400" w:type="dxa"/>
            <w:shd w:val="clear" w:color="auto" w:fill="EEF2FF"/>
          </w:tcPr>
          <w:p>
            <w:r>
              <w:rPr>
                <w:sz w:val="20"/>
              </w:rPr>
              <w:t xml:space="preserve">지적재산권·알고리즘 기반 패시브</w:t>
            </w:r>
          </w:p>
        </w:tc>
        <w:tc>
          <w:tcPr>
            <w:tcW w:w="2400" w:type="dxa"/>
            <w:shd w:val="clear" w:color="auto" w:fill="EEF2FF"/>
          </w:tcPr>
          <w:p>
            <w:r>
              <w:rPr>
                <w:sz w:val="20"/>
              </w:rPr>
              <w:t xml:space="preserve">가격 재설정, 시스템화</w:t>
            </w:r>
          </w:p>
        </w:tc>
        <w:tc>
          <w:tcPr>
            <w:tcW w:w="2400" w:type="dxa"/>
            <w:shd w:val="clear" w:color="auto" w:fill="EEF2FF"/>
          </w:tcPr>
          <w:p>
            <w:r>
              <w:rPr>
                <w:sz w:val="20"/>
              </w:rPr>
              <w:t xml:space="preserve">IP 기반 수익 월 100만원+</w:t>
            </w:r>
          </w:p>
        </w:tc>
      </w:tr>
    </w:tbl>
    <w:p>
      <w:pPr>
        <w:spacing w:before="0" w:after="120"/>
      </w:pPr>
    </w:p>
    <w:p>
      <w:pPr>
        <w:pStyle w:val="Heading2"/>
      </w:pPr>
      <w:r>
        <w:t xml:space="preserve">LOGIC형에게 맞는 저축·투자 접근법</w:t>
      </w:r>
    </w:p>
    <w:p>
      <w:pPr>
        <w:spacing w:before="0" w:after="100"/>
      </w:pPr>
      <w:r>
        <w:rPr/>
        <w:t xml:space="preserve">①  퀀트·데이터 기반 투자:  Ti의 분석 능력을 투자에 직접 활용. 팩터 투자, 인덱스 ETF, 퀀트 전략</w:t>
      </w:r>
    </w:p>
    <w:p>
      <w:pPr>
        <w:spacing w:before="0" w:after="100"/>
      </w:pPr>
      <w:r>
        <w:rPr/>
        <w:t xml:space="preserve">②  자신이 이해하는 분야만:  원리 파악 없는 투자는 하지 않는 원칙. 본인 전문 분야의 기업, 기술 관련 ETF</w:t>
      </w:r>
    </w:p>
    <w:p>
      <w:pPr>
        <w:spacing w:before="0" w:after="100"/>
      </w:pPr>
      <w:r>
        <w:rPr/>
        <w:t xml:space="preserve">③  자동화로 Fe 회피:  감정적 결정을 시스템으로 대체. 자동 매수·리밸런싱, 규칙 기반 투자</w:t>
      </w:r>
    </w:p>
    <w:p>
      <w:pPr>
        <w:spacing w:before="0" w:after="100"/>
      </w:pPr>
      <w:r>
        <w:rPr/>
        <w:t xml:space="preserve">④  가격 실험 예산:  시장 감각 훈련용 소액 실험. 전체의 5%로 다양한 자산 소액 실험</w:t>
      </w:r>
    </w:p>
    <w:p>
      <w:pPr>
        <w:spacing w:before="0" w:after="80"/>
      </w:pPr>
      <w:r>
        <w:rPr>
          <w:b/>
          <w:color w:val="555555"/>
        </w:rPr>
        <w:t xml:space="preserve">이 주제의 완전한 통합 → Tier 3 Master Report에서</w:t>
      </w:r>
    </w:p>
    <w:p>
      <w:r>
        <w:br w:type="page"/>
      </w:r>
    </w:p>
    <w:p>
      <w:pPr>
        <w:pStyle w:val="Heading1"/>
      </w:pPr>
      <w:r>
        <w:t>7부  돈 심층 — LOGIC형의 재정 그림자와 성장 로드맵</w:t>
      </w:r>
    </w:p>
    <w:p>
      <w:pPr>
        <w:pStyle w:val="Heading2"/>
      </w:pPr>
      <w:r>
        <w:t>돈과 관련된 4가지 그림자 패턴</w:t>
      </w:r>
    </w:p>
    <w:p>
      <w:pPr>
        <w:spacing w:before="0" w:after="160"/>
      </w:pPr>
      <w:r>
        <w:t xml:space="preserve">Tier 1에서 살펴본 “완성 직전 이탈” 패턴 외에도, LOGIC형이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Fe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Fe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LOGIC형의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분석가</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LOGIC형에게 맞는 저축·투자 접근법</w:t>
      </w:r>
    </w:p>
    <w:p>
      <w:pPr>
        <w:spacing w:before="0" w:after="120"/>
      </w:pPr>
      <w:r>
        <w:t xml:space="preserve">Ti 주기능은 새로운 투자 기회에 흥분하기 쉽습니다. 그리고 Fe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LOGIC형은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LOGIC형에게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LOGIC형의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Ti 주기능의 빛과 Fe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Fe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Fe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LOGIC형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Fe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Fe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LOGIC형'의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LOGIC형이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Fe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Fe 그림자 작업의 핵심 원칙</w:t>
            </w:r>
          </w:p>
          <w:p>
            <w:pPr>
              <w:spacing w:before="40" w:after="40"/>
            </w:pPr>
            <w:r>
              <w:rPr>
                <w:sz w:val="10"/>
                <w:szCs w:val="10"/>
              </w:rPr>
              <w:t xml:space="preserve"> </w:t>
            </w:r>
          </w:p>
          <w:p>
            <w:pPr>
              <w:spacing w:before="40" w:after="40"/>
            </w:pPr>
            <w:r>
              <w:rPr>
                <w:color w:val="2C3040"/>
                <w:sz w:val="21"/>
                <w:szCs w:val="21"/>
              </w:rPr>
              <w:t xml:space="preserve">Fe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LOGIC형에게 Si는 열등기능 — 가장 덜 발달한 동시에 가장 큰 성장 잠재력이 숨어 있는 곳입니다.</w:t>
      </w:r>
    </w:p>
    <w:p>
      <w:pPr>
        <w:spacing w:before="40" w:after="80"/>
      </w:pPr>
      <w:r>
        <w:rPr>
          <w:sz w:val="22"/>
          <w:szCs w:val="22"/>
        </w:rPr>
        <w:t xml:space="preserve">Si를 적으로 보는 LOGIC형이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LOGIC형에게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LOGIC형의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분석가</w:t>
      </w:r>
    </w:p>
    <w:p>
      <w:pPr>
        <w:spacing w:before="40" w:after="80"/>
      </w:pPr>
      <w:r>
        <w:rPr>
          <w:sz w:val="22"/>
          <w:szCs w:val="22"/>
        </w:rPr>
        <w:t xml:space="preserve">LOGIC형의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LOGIC형은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LOGIC형에게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LOGIC형에게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LOGIC형은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분석가의 완성</w:t>
      </w:r>
    </w:p>
    <w:p>
      <w:pPr>
        <w:spacing w:before="40" w:after="80"/>
      </w:pPr>
      <w:r>
        <w:rPr>
          <w:sz w:val="22"/>
          <w:szCs w:val="22"/>
        </w:rPr>
        <w:t xml:space="preserve">40대 이후 건강한 LOGIC형은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Fe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LOGIC형에게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LOGIC형의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LOGIC형이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LOGIC형이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LOGIC형이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LOGIC형을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Fe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LOGIC형은 강력한 창조적 에너지를 가지지만, '미완성 작품의 묘지'가 가장 흔한 함정입니다. LOGIC형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LOGIC형의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Fe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Fe 그림자 탐정 (1-7일)</w:t>
      </w:r>
    </w:p>
    <w:p>
      <w:pPr>
        <w:spacing w:before="40" w:after="80"/>
      </w:pPr>
      <w:r>
        <w:rPr>
          <w:sz w:val="22"/>
          <w:szCs w:val="22"/>
        </w:rPr>
        <w:t xml:space="preserve">목표: 나의 Fe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'Fe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Fe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LOGIC형의 관계 패턴에서 Fe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Fe 그림자의 4가지 패턴을 이름 붙였고, Si를 의식적으로 경험했으며, 30일 퀘스트를 통해 작은 완성의 경험을 만들었습니다. 이것은 작아 보이지만 LOGIC형에게는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분석가에서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분석가가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