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LOGIC</w:t>
      </w:r>
    </w:p>
    <w:p>
      <w:pPr>
        <w:spacing w:before="0" w:after="80"/>
        <w:jc w:val="center"/>
      </w:pPr>
      <w:r>
        <w:rPr>
          <w:b/>
          <w:bCs/>
          <w:color w:val="3D8B37"/>
          <w:sz w:val="36"/>
          <w:szCs w:val="36"/>
        </w:rPr>
        <w:t xml:space="preserve">The Explorer  |  분석가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분석가의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8부  돈 마스터 — LOGIC형의 완전한 재정 자아 설계</w:t>
      </w:r>
    </w:p>
    <w:p>
      <w:pPr>
        <w:pStyle w:val="Heading2"/>
      </w:pPr>
      <w:r>
        <w:t xml:space="preserve">Ti와 돈의 완전한 심리학</w:t>
      </w:r>
    </w:p>
    <w:p>
      <w:pPr>
        <w:spacing w:before="0" w:after="160"/>
      </w:pPr>
      <w:r>
        <w:rPr/>
        <w:t xml:space="preserve">Master 단계에서는 어떻게 돈을 버나가 아니라 Ti 주기능과 돈의 관계에서 작동하는 무의식적 패턴을 완전히 해체합니다. 이것은 행동 변화가 아닌, 존재 방식의 변화입니다.</w:t>
      </w:r>
    </w:p>
    <w:p>
      <w:pPr>
        <w:pStyle w:val="Heading2"/>
      </w:pPr>
      <w:r>
        <w:t xml:space="preserve">LOGIC형의 부의 철학 — 머니 스크립트 재작성</w:t>
      </w:r>
    </w:p>
    <w:p>
      <w:pPr>
        <w:spacing w:before="0" w:after="100"/>
      </w:pPr>
      <w:r>
        <w:rPr>
          <w:color w:val="8B2222"/>
        </w:rPr>
        <w:t xml:space="preserve">제한적 스크립트: “더 알아야 결정할 수 있다” / “내 논리가 맞으면 시장도 알아줄 것이다” / “가격은 원가 기반으로 설정해야 한다” / “혼자 잘 하면 된다”</w:t>
      </w:r>
    </w:p>
    <w:p>
      <w:pPr>
        <w:spacing w:before="0" w:after="160"/>
      </w:pPr>
      <w:r>
        <w:rPr>
          <w:color w:val="1E6B1E"/>
        </w:rPr>
        <w:t xml:space="preserve">해방적 재작성: “70%의 이해로 시작하고 나머지는 실행에서 배운다” / “시장은 논리가 아닌 가치 인식으로 움직인다” / “내 분석 능력의 시장 가격은 내가 생각한 것보다 높다” / “파트너는 약점 보완이 아닌 강점 증폭이다”</w:t>
      </w:r>
    </w:p>
    <w:p>
      <w:pPr>
        <w:pStyle w:val="Heading2"/>
      </w:pPr>
      <w:r>
        <w:t xml:space="preserve">LOGIC형의 소비·투자 성향 요약</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4A6B"/>
          </w:tcPr>
          <w:p>
            <w:pPr>
              <w:jc w:val="center"/>
            </w:pPr>
            <w:r>
              <w:rPr>
                <w:b/>
                <w:color w:val="FFFFFF"/>
                <w:sz w:val="20"/>
              </w:rPr>
              <w:t>투자 접근</w:t>
            </w:r>
          </w:p>
        </w:tc>
        <w:tc>
          <w:tcPr>
            <w:tcW w:w="2880" w:type="dxa"/>
            <w:shd w:val="clear" w:color="auto" w:fill="1A4A6B"/>
          </w:tcPr>
          <w:p>
            <w:pPr>
              <w:jc w:val="center"/>
            </w:pPr>
            <w:r>
              <w:rPr>
                <w:b/>
                <w:color w:val="FFFFFF"/>
                <w:sz w:val="20"/>
              </w:rPr>
              <w:t>이유</w:t>
            </w:r>
          </w:p>
        </w:tc>
        <w:tc>
          <w:tcPr>
            <w:tcW w:w="2880" w:type="dxa"/>
            <w:shd w:val="clear" w:color="auto" w:fill="1A4A6B"/>
          </w:tcPr>
          <w:p>
            <w:pPr>
              <w:jc w:val="center"/>
            </w:pPr>
            <w:r>
              <w:rPr>
                <w:b/>
                <w:color w:val="FFFFFF"/>
                <w:sz w:val="20"/>
              </w:rPr>
              <w:t>실천법</w:t>
            </w:r>
          </w:p>
        </w:tc>
      </w:tr>
      <w:tr>
        <w:tc>
          <w:tcPr>
            <w:tcW w:w="2880" w:type="dxa"/>
            <w:shd w:val="clear" w:color="auto" w:fill="EEF2FF"/>
          </w:tcPr>
          <w:p>
            <w:r>
              <w:rPr>
                <w:b/>
                <w:sz w:val="20"/>
              </w:rPr>
              <w:t xml:space="preserve">퀀트·데이터 기반 투자</w:t>
            </w:r>
          </w:p>
        </w:tc>
        <w:tc>
          <w:tcPr>
            <w:tcW w:w="2880" w:type="dxa"/>
            <w:shd w:val="clear" w:color="auto" w:fill="EEF2FF"/>
          </w:tcPr>
          <w:p>
            <w:r>
              <w:rPr>
                <w:sz w:val="20"/>
              </w:rPr>
              <w:t xml:space="preserve">Ti의 분석 능력을 투자에 직접 활용</w:t>
            </w:r>
          </w:p>
        </w:tc>
        <w:tc>
          <w:tcPr>
            <w:tcW w:w="2880" w:type="dxa"/>
            <w:shd w:val="clear" w:color="auto" w:fill="EEF2FF"/>
          </w:tcPr>
          <w:p>
            <w:r>
              <w:rPr>
                <w:sz w:val="20"/>
              </w:rPr>
              <w:t xml:space="preserve">팩터 투자, 인덱스 ETF, 퀀트 전략</w:t>
            </w:r>
          </w:p>
        </w:tc>
      </w:tr>
      <w:tr>
        <w:tc>
          <w:tcPr>
            <w:tcW w:w="2880" w:type="dxa"/>
            <w:shd w:val="clear" w:color="auto" w:fill="EEF2FF"/>
          </w:tcPr>
          <w:p>
            <w:r>
              <w:rPr>
                <w:b/>
                <w:sz w:val="20"/>
              </w:rPr>
              <w:t xml:space="preserve">자신이 이해하는 분야만</w:t>
            </w:r>
          </w:p>
        </w:tc>
        <w:tc>
          <w:tcPr>
            <w:tcW w:w="2880" w:type="dxa"/>
            <w:shd w:val="clear" w:color="auto" w:fill="EEF2FF"/>
          </w:tcPr>
          <w:p>
            <w:r>
              <w:rPr>
                <w:sz w:val="20"/>
              </w:rPr>
              <w:t xml:space="preserve">원리 파악 없는 투자는 하지 않는 원칙</w:t>
            </w:r>
          </w:p>
        </w:tc>
        <w:tc>
          <w:tcPr>
            <w:tcW w:w="2880" w:type="dxa"/>
            <w:shd w:val="clear" w:color="auto" w:fill="EEF2FF"/>
          </w:tcPr>
          <w:p>
            <w:r>
              <w:rPr>
                <w:sz w:val="20"/>
              </w:rPr>
              <w:t xml:space="preserve">본인 전문 분야의 기업, 기술 관련 ETF</w:t>
            </w:r>
          </w:p>
        </w:tc>
      </w:tr>
      <w:tr>
        <w:tc>
          <w:tcPr>
            <w:tcW w:w="2880" w:type="dxa"/>
            <w:shd w:val="clear" w:color="auto" w:fill="EEF2FF"/>
          </w:tcPr>
          <w:p>
            <w:r>
              <w:rPr>
                <w:b/>
                <w:sz w:val="20"/>
              </w:rPr>
              <w:t xml:space="preserve">자동화로 Fe 회피</w:t>
            </w:r>
          </w:p>
        </w:tc>
        <w:tc>
          <w:tcPr>
            <w:tcW w:w="2880" w:type="dxa"/>
            <w:shd w:val="clear" w:color="auto" w:fill="EEF2FF"/>
          </w:tcPr>
          <w:p>
            <w:r>
              <w:rPr>
                <w:sz w:val="20"/>
              </w:rPr>
              <w:t xml:space="preserve">감정적 결정을 시스템으로 대체</w:t>
            </w:r>
          </w:p>
        </w:tc>
        <w:tc>
          <w:tcPr>
            <w:tcW w:w="2880" w:type="dxa"/>
            <w:shd w:val="clear" w:color="auto" w:fill="EEF2FF"/>
          </w:tcPr>
          <w:p>
            <w:r>
              <w:rPr>
                <w:sz w:val="20"/>
              </w:rPr>
              <w:t xml:space="preserve">자동 매수·리밸런싱, 규칙 기반 투자</w:t>
            </w:r>
          </w:p>
        </w:tc>
      </w:tr>
      <w:tr>
        <w:tc>
          <w:tcPr>
            <w:tcW w:w="2880" w:type="dxa"/>
            <w:shd w:val="clear" w:color="auto" w:fill="EEF2FF"/>
          </w:tcPr>
          <w:p>
            <w:r>
              <w:rPr>
                <w:b/>
                <w:sz w:val="20"/>
              </w:rPr>
              <w:t xml:space="preserve">가격 실험 예산</w:t>
            </w:r>
          </w:p>
        </w:tc>
        <w:tc>
          <w:tcPr>
            <w:tcW w:w="2880" w:type="dxa"/>
            <w:shd w:val="clear" w:color="auto" w:fill="EEF2FF"/>
          </w:tcPr>
          <w:p>
            <w:r>
              <w:rPr>
                <w:sz w:val="20"/>
              </w:rPr>
              <w:t xml:space="preserve">시장 감각 훈련용 소액 실험</w:t>
            </w:r>
          </w:p>
        </w:tc>
        <w:tc>
          <w:tcPr>
            <w:tcW w:w="2880" w:type="dxa"/>
            <w:shd w:val="clear" w:color="auto" w:fill="EEF2FF"/>
          </w:tcPr>
          <w:p>
            <w:r>
              <w:rPr>
                <w:sz w:val="20"/>
              </w:rPr>
              <w:t xml:space="preserve">전체의 5%로 다양한 자산 소액 실험</w:t>
            </w:r>
          </w:p>
        </w:tc>
      </w:tr>
    </w:tbl>
    <w:p>
      <w:pPr>
        <w:spacing w:before="0" w:after="120"/>
      </w:pPr>
    </w:p>
    <w:p>
      <w:pPr>
        <w:pStyle w:val="Heading2"/>
      </w:pPr>
      <w:r>
        <w:t xml:space="preserve">LOGIC형의 최적 비즈니스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4A6B"/>
          </w:tcPr>
          <w:p>
            <w:pPr>
              <w:jc w:val="center"/>
            </w:pPr>
            <w:r>
              <w:rPr>
                <w:b/>
                <w:color w:val="FFFFFF"/>
                <w:sz w:val="20"/>
              </w:rPr>
              <w:t>층</w:t>
            </w:r>
          </w:p>
        </w:tc>
        <w:tc>
          <w:tcPr>
            <w:tcW w:w="2400" w:type="dxa"/>
            <w:shd w:val="clear" w:color="auto" w:fill="1A4A6B"/>
          </w:tcPr>
          <w:p>
            <w:pPr>
              <w:jc w:val="center"/>
            </w:pPr>
            <w:r>
              <w:rPr>
                <w:b/>
                <w:color w:val="FFFFFF"/>
                <w:sz w:val="20"/>
              </w:rPr>
              <w:t>역할</w:t>
            </w:r>
          </w:p>
        </w:tc>
        <w:tc>
          <w:tcPr>
            <w:tcW w:w="2400" w:type="dxa"/>
            <w:shd w:val="clear" w:color="auto" w:fill="1A4A6B"/>
          </w:tcPr>
          <w:p>
            <w:pPr>
              <w:jc w:val="center"/>
            </w:pPr>
            <w:r>
              <w:rPr>
                <w:b/>
                <w:color w:val="FFFFFF"/>
                <w:sz w:val="20"/>
              </w:rPr>
              <w:t>예시</w:t>
            </w:r>
          </w:p>
        </w:tc>
        <w:tc>
          <w:tcPr>
            <w:tcW w:w="2400" w:type="dxa"/>
            <w:shd w:val="clear" w:color="auto" w:fill="1A4A6B"/>
          </w:tcPr>
          <w:p>
            <w:pPr>
              <w:jc w:val="center"/>
            </w:pPr>
            <w:r>
              <w:rPr>
                <w:b/>
                <w:color w:val="FFFFFF"/>
                <w:sz w:val="20"/>
              </w:rPr>
              <w:t>목표 수익 비중</w:t>
            </w:r>
          </w:p>
        </w:tc>
      </w:tr>
      <w:tr>
        <w:tc>
          <w:tcPr>
            <w:tcW w:w="1440" w:type="dxa"/>
            <w:shd w:val="clear" w:color="auto" w:fill="EEF2FF"/>
          </w:tcPr>
          <w:p>
            <w:r>
              <w:rPr>
                <w:b/>
                <w:sz w:val="20"/>
              </w:rPr>
              <w:t xml:space="preserve">1층
기술 서비스</w:t>
            </w:r>
          </w:p>
        </w:tc>
        <w:tc>
          <w:tcPr>
            <w:tcW w:w="2400" w:type="dxa"/>
            <w:shd w:val="clear" w:color="auto" w:fill="EEF2FF"/>
          </w:tcPr>
          <w:p>
            <w:r>
              <w:rPr>
                <w:sz w:val="20"/>
              </w:rPr>
              <w:t xml:space="preserve">Ti 전문성의 직접 수익화</w:t>
            </w:r>
          </w:p>
        </w:tc>
        <w:tc>
          <w:tcPr>
            <w:tcW w:w="2400" w:type="dxa"/>
            <w:shd w:val="clear" w:color="auto" w:fill="EEF2FF"/>
          </w:tcPr>
          <w:p>
            <w:r>
              <w:rPr>
                <w:sz w:val="20"/>
              </w:rPr>
              <w:t xml:space="preserve">개발, 컨설팅, 감사, 분석 용역</w:t>
            </w:r>
          </w:p>
        </w:tc>
        <w:tc>
          <w:tcPr>
            <w:tcW w:w="2400" w:type="dxa"/>
            <w:shd w:val="clear" w:color="auto" w:fill="EEF2FF"/>
          </w:tcPr>
          <w:p>
            <w:r>
              <w:rPr>
                <w:sz w:val="20"/>
              </w:rPr>
              <w:t xml:space="preserve">50% 내외</w:t>
            </w:r>
          </w:p>
        </w:tc>
      </w:tr>
      <w:tr>
        <w:tc>
          <w:tcPr>
            <w:tcW w:w="1440" w:type="dxa"/>
            <w:shd w:val="clear" w:color="auto" w:fill="EEF2FF"/>
          </w:tcPr>
          <w:p>
            <w:r>
              <w:rPr>
                <w:b/>
                <w:sz w:val="20"/>
              </w:rPr>
              <w:t xml:space="preserve">2층
지식 상품</w:t>
            </w:r>
          </w:p>
        </w:tc>
        <w:tc>
          <w:tcPr>
            <w:tcW w:w="2400" w:type="dxa"/>
            <w:shd w:val="clear" w:color="auto" w:fill="EEF2FF"/>
          </w:tcPr>
          <w:p>
            <w:r>
              <w:rPr>
                <w:sz w:val="20"/>
              </w:rPr>
              <w:t xml:space="preserve">분석·원리를 콘텐츠로 변환</w:t>
            </w:r>
          </w:p>
        </w:tc>
        <w:tc>
          <w:tcPr>
            <w:tcW w:w="2400" w:type="dxa"/>
            <w:shd w:val="clear" w:color="auto" w:fill="EEF2FF"/>
          </w:tcPr>
          <w:p>
            <w:r>
              <w:rPr>
                <w:sz w:val="20"/>
              </w:rPr>
              <w:t xml:space="preserve">기술 강의, 알고리즘, 리서치 보고서</w:t>
            </w:r>
          </w:p>
        </w:tc>
        <w:tc>
          <w:tcPr>
            <w:tcW w:w="2400" w:type="dxa"/>
            <w:shd w:val="clear" w:color="auto" w:fill="EEF2FF"/>
          </w:tcPr>
          <w:p>
            <w:r>
              <w:rPr>
                <w:sz w:val="20"/>
              </w:rPr>
              <w:t xml:space="preserve">30% 목표</w:t>
            </w:r>
          </w:p>
        </w:tc>
      </w:tr>
      <w:tr>
        <w:tc>
          <w:tcPr>
            <w:tcW w:w="1440" w:type="dxa"/>
            <w:shd w:val="clear" w:color="auto" w:fill="EEF2FF"/>
          </w:tcPr>
          <w:p>
            <w:r>
              <w:rPr>
                <w:b/>
                <w:sz w:val="20"/>
              </w:rPr>
              <w:t xml:space="preserve">3층
IP 수익</w:t>
            </w:r>
          </w:p>
        </w:tc>
        <w:tc>
          <w:tcPr>
            <w:tcW w:w="2400" w:type="dxa"/>
            <w:shd w:val="clear" w:color="auto" w:fill="EEF2FF"/>
          </w:tcPr>
          <w:p>
            <w:r>
              <w:rPr>
                <w:sz w:val="20"/>
              </w:rPr>
              <w:t xml:space="preserve">지적재산 기반 패시브 인컴</w:t>
            </w:r>
          </w:p>
        </w:tc>
        <w:tc>
          <w:tcPr>
            <w:tcW w:w="2400" w:type="dxa"/>
            <w:shd w:val="clear" w:color="auto" w:fill="EEF2FF"/>
          </w:tcPr>
          <w:p>
            <w:r>
              <w:rPr>
                <w:sz w:val="20"/>
              </w:rPr>
              <w:t xml:space="preserve">소프트웨어 SaaS, 특허, 라이선스</w:t>
            </w:r>
          </w:p>
        </w:tc>
        <w:tc>
          <w:tcPr>
            <w:tcW w:w="2400" w:type="dxa"/>
            <w:shd w:val="clear" w:color="auto" w:fill="EEF2FF"/>
          </w:tcPr>
          <w:p>
            <w:r>
              <w:rPr>
                <w:sz w:val="20"/>
              </w:rPr>
              <w:t xml:space="preserve">20% 장기</w:t>
            </w:r>
          </w:p>
        </w:tc>
      </w:tr>
    </w:tbl>
    <w:p>
      <w:pPr>
        <w:spacing w:before="0" w:after="120"/>
      </w:pPr>
    </w:p>
    <w:p>
      <w:pPr>
        <w:pStyle w:val="Heading2"/>
      </w:pPr>
      <w:r>
        <w:t xml:space="preserve">Ti와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4A6B"/>
          </w:tcPr>
          <w:p>
            <w:pPr>
              <w:jc w:val="center"/>
            </w:pPr>
            <w:r>
              <w:rPr>
                <w:b/>
                <w:color w:val="FFFFFF"/>
                <w:sz w:val="20"/>
              </w:rPr>
              <w:t>질문</w:t>
            </w:r>
          </w:p>
        </w:tc>
        <w:tc>
          <w:tcPr>
            <w:tcW w:w="5520" w:type="dxa"/>
            <w:shd w:val="clear" w:color="auto" w:fill="1A4A6B"/>
          </w:tcPr>
          <w:p>
            <w:pPr>
              <w:jc w:val="center"/>
            </w:pPr>
            <w:r>
              <w:rPr>
                <w:b/>
                <w:color w:val="FFFFFF"/>
                <w:sz w:val="20"/>
              </w:rPr>
              <w:t>나의 답</w:t>
            </w:r>
          </w:p>
        </w:tc>
      </w:tr>
      <w:tr>
        <w:tc>
          <w:tcPr>
            <w:tcW w:w="3120" w:type="dxa"/>
            <w:shd w:val="clear" w:color="auto" w:fill="EEF2FF"/>
          </w:tcPr>
          <w:p>
            <w:r>
              <w:rPr>
                <w:b/>
                <w:sz w:val="20"/>
              </w:rPr>
              <w:t xml:space="preserve">내 Ti가 가장 깊이 파고든 분야는?</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지금 당장 70%로 출시할 수 있는 것은?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내 능력의 시장 가격을 올릴 수 있는 방법은?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위임할 영업·협업 영역은?</w:t>
            </w:r>
          </w:p>
        </w:tc>
        <w:tc>
          <w:tcPr>
            <w:tcW w:w="5520" w:type="dxa"/>
            <w:shd w:val="clear" w:color="auto" w:fill="EEF2FF"/>
          </w:tcPr>
          <w:p>
            <w:r>
              <w:rPr>
                <w:sz w:val="20"/>
              </w:rPr>
              <w:t xml:space="preserve">직접 작성...</w:t>
            </w:r>
          </w:p>
        </w:tc>
      </w:tr>
    </w:tbl>
    <w:p>
      <w:pPr>
        <w:spacing w:before="0" w:after="160"/>
      </w:pPr>
    </w:p>
    <w:p>
      <w:pPr>
        <w:spacing w:before="0" w:after="120"/>
        <w:ind w:left="360"/>
      </w:pPr>
      <w:r>
        <w:rPr>
          <w:i/>
          <w:color w:val="1A4A6B"/>
        </w:rPr>
        <w:t xml:space="preserve">“LOGIC형의 Ti는 세상에서 가장 귀한 자원입니다. 그 자원이 시장과 연결될 때—논리가 가치로, 분석이 수익으로—당신의 잠재력은 완전히 발현됩니다.”</w:t>
      </w:r>
    </w:p>
    <w:p>
      <w:r>
        <w:br w:type="page"/>
      </w:r>
    </w:p>
    <w:p>
      <w:pPr>
        <w:pStyle w:val="Heading1"/>
      </w:pPr>
      <w:r>
        <w:t>8부  돈 마스터 — LOGIC형의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Ti 주기능이 돈과 만날 때 어떤 무의식적 패턴이 작동하는지 완전히 직시하는 작업입니다.</w:t>
      </w:r>
    </w:p>
    <w:p>
      <w:pPr>
        <w:pStyle w:val="Heading3"/>
      </w:pPr>
      <w:r>
        <w:t>LOGIC형의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LOGIC형의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LOGIC형의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LOGIC형의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LOGIC형의 부의 철학 — 머니 스크립트 재작성</w:t>
      </w:r>
    </w:p>
    <w:p>
      <w:pPr>
        <w:spacing w:before="0" w:after="120"/>
      </w:pPr>
      <w:r>
        <w:t xml:space="preserve">머니 스크립트(Money Script)란 어린 시절 형성된 돈에 대한 무의식적 믿음입니다. LOGIC형은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LOGIC형의 최적 비즈니스 모델 설계</w:t>
      </w:r>
    </w:p>
    <w:p>
      <w:pPr>
        <w:spacing w:before="0" w:after="120"/>
      </w:pPr>
      <w:r>
        <w:t xml:space="preserve">LOGIC형의 Ne가 가장 빛나는 비즈니스 구조는 “레버리지형 지식 비즈니스”입니다. 한 번 만든 콘텐츠가 반복적으로 수익을 창출하고, 새 아이디어를 계속 투입할 수 있는 구조입니다.</w:t>
      </w:r>
    </w:p>
    <w:p>
      <w:pPr>
        <w:pStyle w:val="Heading3"/>
      </w:pPr>
      <w:r>
        <w:t>LOGIC형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“LOGIC형에게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Fe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분석가에서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분석가의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분석가.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분석가에서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분석가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분석가</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Fe 그림자의 4가지 패턴을 만났습니다. Master Edition에서는 더 깊이 들어갑니다. Fe 그림자가 작동하는 무의식의 메커니즘을 이해하고, 완전한 통합을 위한 심층 작업을 합니다.</w:t>
      </w:r>
    </w:p>
    <w:p>
      <w:pPr>
        <w:spacing w:before="0" w:after="60"/>
      </w:pPr>
    </w:p>
    <w:p>
      <w:pPr>
        <w:pStyle w:val="Heading3"/>
      </w:pPr>
      <w:r>
        <w:rPr>
          <w:color w:val="C17B25"/>
        </w:rPr>
        <w:t xml:space="preserve">Fe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Fe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LOGIC</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'분석가'에서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분석가들을 격려하고 지원</w:t>
            </w:r>
          </w:p>
        </w:tc>
      </w:tr>
    </w:tbl>
    <w:p>
      <w:pPr>
        <w:spacing w:before="0" w:after="80"/>
      </w:pPr>
    </w:p>
    <w:p>
      <w:pPr>
        <w:pStyle w:val="Heading3"/>
      </w:pPr>
      <w:r>
        <w:rPr>
          <w:color w:val="C17B25"/>
        </w:rPr>
        <w:t xml:space="preserve">SPARK의 성숙한 노년: 지혜로운 분석가</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분석가'가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분석가의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분석가들에게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Fe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분석가의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분석가의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Fe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