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SPARK</w:t>
      </w:r>
    </w:p>
    <w:p>
      <w:pPr>
        <w:spacing w:before="0" w:after="80"/>
        <w:jc w:val="center"/>
      </w:pPr>
      <w:r>
        <w:rPr>
          <w:b/>
          <w:bCs/>
          <w:color w:val="3D8B37"/>
          <w:sz w:val="36"/>
          <w:szCs w:val="36"/>
        </w:rPr>
        <w:t xml:space="preserve">The Explorer  |  탐험가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탐험가의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8부  돈 마스터 — SPARK형의 완전한 재정 자아 설계</w:t>
      </w:r>
    </w:p>
    <w:p>
      <w:pPr>
        <w:pStyle w:val="Heading2"/>
      </w:pPr>
      <w:r>
        <w:t>투자·소비 심리 완전 분석</w:t>
      </w:r>
    </w:p>
    <w:p>
      <w:pPr>
        <w:spacing w:before="0" w:after="160"/>
      </w:pPr>
      <w:r>
        <w:t xml:space="preserve">Master 단계에서는 “어떻게 돈을 버나”가 아니라 “돈과 나의 관계는 무엇인가”를 다룹니다. Ne 주기능이 돈과 만날 때 어떤 무의식적 패턴이 작동하는지 완전히 직시하는 작업입니다.</w:t>
      </w:r>
    </w:p>
    <w:p>
      <w:pPr>
        <w:pStyle w:val="Heading3"/>
      </w:pPr>
      <w:r>
        <w:t>SPARK형의 투자 심리 지도</w:t>
      </w:r>
    </w:p>
    <w:p>
      <w:pPr>
        <w:spacing w:before="0" w:after="100"/>
      </w:pPr>
      <w:r>
        <w:rPr>
          <w:b/>
        </w:rPr>
        <w:t xml:space="preserve">흥분-후회 사이클:  </w:t>
      </w:r>
      <w:r>
        <w:t xml:space="preserve">새로운 투자 기회(코인, 스타트업, 새 플랫폼)를 발견하면 Ne가 폭발적으로 활성화됩니다. “이건 분명히 된다!”는 확신과 함께 큰 금액을 투입합니다. 그러나 검증 없는 흥분이었음을 깨닫고 후회하는 사이클이 반복됩니다.</w:t>
      </w:r>
    </w:p>
    <w:p>
      <w:pPr>
        <w:spacing w:before="0" w:after="100"/>
      </w:pPr>
      <w:r>
        <w:rPr>
          <w:b/>
        </w:rPr>
        <w:t xml:space="preserve">분석 마비와 직관 점프 사이:  </w:t>
      </w:r>
      <w:r>
        <w:t xml:space="preserve">때로는 너무 많은 옵션을 탐색하다 결정하지 못하고(분석 마비), 때로는 직관만으로 즉시 결정합니다(직관 점프). 두 극단 사이의 균형이 성숙한 SPARK형의 과제입니다.</w:t>
      </w:r>
    </w:p>
    <w:p>
      <w:pPr>
        <w:spacing w:before="0" w:after="160"/>
      </w:pPr>
      <w:r>
        <w:rPr>
          <w:b/>
        </w:rPr>
        <w:t xml:space="preserve">경험 투자 우선성:  </w:t>
      </w:r>
      <w:r>
        <w:t xml:space="preserve">물건보다 경험, 저축보다 배움에 돈을 씁니다. 이것은 약점이 아닙니다. 단, 경험에서 수익을 창출하는 루트가 명확할 때만 정당화됩니다. 경험 자체가 목적인 소비는 재정을 고갈시킵니다.</w:t>
      </w:r>
    </w:p>
    <w:p>
      <w:pPr>
        <w:pStyle w:val="Heading3"/>
      </w:pPr>
      <w:r>
        <w:t>SPARK형의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소비 유형</w:t>
            </w:r>
          </w:p>
        </w:tc>
        <w:tc>
          <w:tcPr>
            <w:tcW w:w="2880" w:type="dxa"/>
            <w:shd w:val="clear" w:color="auto" w:fill="2C3E7A"/>
          </w:tcPr>
          <w:p>
            <w:pPr>
              <w:jc w:val="center"/>
            </w:pPr>
            <w:r>
              <w:rPr>
                <w:b/>
                <w:color w:val="FFFFFF"/>
                <w:sz w:val="20"/>
              </w:rPr>
              <w:t>SPARK형의 패턴</w:t>
            </w:r>
          </w:p>
        </w:tc>
        <w:tc>
          <w:tcPr>
            <w:tcW w:w="2880" w:type="dxa"/>
            <w:shd w:val="clear" w:color="auto" w:fill="2C3E7A"/>
          </w:tcPr>
          <w:p>
            <w:pPr>
              <w:jc w:val="center"/>
            </w:pPr>
            <w:r>
              <w:rPr>
                <w:b/>
                <w:color w:val="FFFFFF"/>
                <w:sz w:val="20"/>
              </w:rPr>
              <w:t>통합 전략</w:t>
            </w:r>
          </w:p>
        </w:tc>
      </w:tr>
      <w:tr>
        <w:tc>
          <w:tcPr>
            <w:tcW w:w="2880" w:type="dxa"/>
            <w:shd w:val="clear" w:color="auto" w:fill="EEF2FF"/>
          </w:tcPr>
          <w:p>
            <w:r>
              <w:rPr>
                <w:b/>
                <w:sz w:val="20"/>
              </w:rPr>
              <w:t>경험 소비</w:t>
            </w:r>
          </w:p>
        </w:tc>
        <w:tc>
          <w:tcPr>
            <w:tcW w:w="2880" w:type="dxa"/>
          </w:tcPr>
          <w:p>
            <w:r>
              <w:rPr>
                <w:sz w:val="20"/>
              </w:rPr>
              <w:t>여행, 강의, 이벤트에 아낌없이 씀</w:t>
            </w:r>
          </w:p>
        </w:tc>
        <w:tc>
          <w:tcPr>
            <w:tcW w:w="2880" w:type="dxa"/>
          </w:tcPr>
          <w:p>
            <w:r>
              <w:rPr>
                <w:sz w:val="20"/>
              </w:rPr>
              <w:t>“이 경험이 수익으로 이어지는가” 질문 후 결정</w:t>
            </w:r>
          </w:p>
        </w:tc>
      </w:tr>
      <w:tr>
        <w:tc>
          <w:tcPr>
            <w:tcW w:w="2880" w:type="dxa"/>
            <w:shd w:val="clear" w:color="auto" w:fill="EEF2FF"/>
          </w:tcPr>
          <w:p>
            <w:r>
              <w:rPr>
                <w:b/>
                <w:sz w:val="20"/>
              </w:rPr>
              <w:t>도구 소비</w:t>
            </w:r>
          </w:p>
        </w:tc>
        <w:tc>
          <w:tcPr>
            <w:tcW w:w="2880" w:type="dxa"/>
          </w:tcPr>
          <w:p>
            <w:r>
              <w:rPr>
                <w:sz w:val="20"/>
              </w:rPr>
              <w:t>새 앱, 구독, 기기에 충동 구매</w:t>
            </w:r>
          </w:p>
        </w:tc>
        <w:tc>
          <w:tcPr>
            <w:tcW w:w="2880" w:type="dxa"/>
          </w:tcPr>
          <w:p>
            <w:r>
              <w:rPr>
                <w:sz w:val="20"/>
              </w:rPr>
              <w:t>구독 월 한도 예산 고정, 기존 구독 정리 후 추가</w:t>
            </w:r>
          </w:p>
        </w:tc>
      </w:tr>
      <w:tr>
        <w:tc>
          <w:tcPr>
            <w:tcW w:w="2880" w:type="dxa"/>
            <w:shd w:val="clear" w:color="auto" w:fill="EEF2FF"/>
          </w:tcPr>
          <w:p>
            <w:r>
              <w:rPr>
                <w:b/>
                <w:sz w:val="20"/>
              </w:rPr>
              <w:t>루틴 소비</w:t>
            </w:r>
          </w:p>
        </w:tc>
        <w:tc>
          <w:tcPr>
            <w:tcW w:w="2880" w:type="dxa"/>
          </w:tcPr>
          <w:p>
            <w:r>
              <w:rPr>
                <w:sz w:val="20"/>
              </w:rPr>
              <w:t>식비, 관리비 등 루틴 지출 추적 안 함</w:t>
            </w:r>
          </w:p>
        </w:tc>
        <w:tc>
          <w:tcPr>
            <w:tcW w:w="2880" w:type="dxa"/>
          </w:tcPr>
          <w:p>
            <w:r>
              <w:rPr>
                <w:sz w:val="20"/>
              </w:rPr>
              <w:t>연동 가계부 앱으로 자동 분류, 월 1회 리뷰</w:t>
            </w:r>
          </w:p>
        </w:tc>
      </w:tr>
    </w:tbl>
    <w:p>
      <w:pPr>
        <w:spacing w:before="0" w:after="120"/>
      </w:pPr>
    </w:p>
    <w:p>
      <w:pPr>
        <w:pStyle w:val="Heading2"/>
      </w:pPr>
      <w:r>
        <w:t>SPARK형의 부의 철학 — 머니 스크립트 재작성</w:t>
      </w:r>
    </w:p>
    <w:p>
      <w:pPr>
        <w:spacing w:before="0" w:after="120"/>
      </w:pPr>
      <w:r>
        <w:t xml:space="preserve">머니 스크립트(Money Script)란 어린 시절 형성된 돈에 대한 무의식적 믿음입니다. SPARK형은 특유의 Ne-Si 역학으로 독특한 머니 스크립트를 형성합니다.</w:t>
      </w:r>
    </w:p>
    <w:p>
      <w:pPr>
        <w:spacing w:before="0" w:after="100"/>
      </w:pPr>
      <w:r>
        <w:rPr>
          <w:b/>
          <w:color w:val="8B2222"/>
        </w:rPr>
        <w:t xml:space="preserve">❌  제한적 스크립트:  </w:t>
      </w:r>
      <w:r>
        <w:t xml:space="preserve">“돈을 많이 벌면 자유를 잃는다” / “정해진 일을 해야 돈을 버는데, 나는 정해진 게 싫다” / “좋은 아이디어는 언제든 돈이 되어야 한다”</w:t>
      </w:r>
    </w:p>
    <w:p>
      <w:pPr>
        <w:spacing w:before="0" w:after="160"/>
      </w:pPr>
      <w:r>
        <w:rPr>
          <w:b/>
          <w:color w:val="1E6B1E"/>
        </w:rPr>
        <w:t xml:space="preserve">✅  해방적 재작성:  </w:t>
      </w:r>
      <w:r>
        <w:t xml:space="preserve">“돈은 더 많은 가능성의 문을 연다” / “시스템이 나 대신 일하면 나는 탐험할 수 있다” / “아이디어를 완성하는 것이 다음 아이디어를 위한 자원을 만든다”</w:t>
      </w:r>
    </w:p>
    <w:p>
      <w:pPr>
        <w:pStyle w:val="Heading2"/>
      </w:pPr>
      <w:r>
        <w:t>SPARK형의 최적 비즈니스 모델 설계</w:t>
      </w:r>
    </w:p>
    <w:p>
      <w:pPr>
        <w:spacing w:before="0" w:after="120"/>
      </w:pPr>
      <w:r>
        <w:t xml:space="preserve">SPARK형의 Ne가 가장 빛나는 비즈니스 구조는 “레버리지형 지식 비즈니스”입니다. 한 번 만든 콘텐츠가 반복적으로 수익을 창출하고, 새 아이디어를 계속 투입할 수 있는 구조입니다.</w:t>
      </w:r>
    </w:p>
    <w:p>
      <w:pPr>
        <w:pStyle w:val="Heading3"/>
      </w:pPr>
      <w:r>
        <w:t>SPARK형 최적 비즈니스 구조 — 3층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층</w:t>
            </w:r>
          </w:p>
        </w:tc>
        <w:tc>
          <w:tcPr>
            <w:tcW w:w="2400" w:type="dxa"/>
            <w:shd w:val="clear" w:color="auto" w:fill="2C3E7A"/>
          </w:tcPr>
          <w:p>
            <w:pPr>
              <w:jc w:val="center"/>
            </w:pPr>
            <w:r>
              <w:rPr>
                <w:b/>
                <w:color w:val="FFFFFF"/>
                <w:sz w:val="20"/>
              </w:rPr>
              <w:t>역할</w:t>
            </w:r>
          </w:p>
        </w:tc>
        <w:tc>
          <w:tcPr>
            <w:tcW w:w="2400" w:type="dxa"/>
            <w:shd w:val="clear" w:color="auto" w:fill="2C3E7A"/>
          </w:tcPr>
          <w:p>
            <w:pPr>
              <w:jc w:val="center"/>
            </w:pPr>
            <w:r>
              <w:rPr>
                <w:b/>
                <w:color w:val="FFFFFF"/>
                <w:sz w:val="20"/>
              </w:rPr>
              <w:t>예시</w:t>
            </w:r>
          </w:p>
        </w:tc>
        <w:tc>
          <w:tcPr>
            <w:tcW w:w="2400" w:type="dxa"/>
            <w:shd w:val="clear" w:color="auto" w:fill="2C3E7A"/>
          </w:tcPr>
          <w:p>
            <w:pPr>
              <w:jc w:val="center"/>
            </w:pPr>
            <w:r>
              <w:rPr>
                <w:b/>
                <w:color w:val="FFFFFF"/>
                <w:sz w:val="20"/>
              </w:rPr>
              <w:t>목표 수익 비중</w:t>
            </w:r>
          </w:p>
        </w:tc>
      </w:tr>
      <w:tr>
        <w:tc>
          <w:tcPr>
            <w:tcW w:w="1440" w:type="dxa"/>
            <w:shd w:val="clear" w:color="auto" w:fill="EEF2FF"/>
          </w:tcPr>
          <w:p>
            <w:r>
              <w:rPr>
                <w:b/>
                <w:sz w:val="20"/>
              </w:rPr>
              <w:t>1층
패시브</w:t>
            </w:r>
          </w:p>
        </w:tc>
        <w:tc>
          <w:tcPr>
            <w:tcW w:w="2400" w:type="dxa"/>
          </w:tcPr>
          <w:p>
            <w:r>
              <w:rPr>
                <w:sz w:val="20"/>
              </w:rPr>
              <w:t>잠자는 동안 수익 창출</w:t>
            </w:r>
          </w:p>
        </w:tc>
        <w:tc>
          <w:tcPr>
            <w:tcW w:w="2400" w:type="dxa"/>
          </w:tcPr>
          <w:p>
            <w:r>
              <w:rPr>
                <w:sz w:val="20"/>
              </w:rPr>
              <w:t>온라인 강의, 전자책, 템플릿, SaaS</w:t>
            </w:r>
          </w:p>
        </w:tc>
        <w:tc>
          <w:tcPr>
            <w:tcW w:w="2400" w:type="dxa"/>
          </w:tcPr>
          <w:p>
            <w:r>
              <w:rPr>
                <w:sz w:val="20"/>
              </w:rPr>
              <w:t>60% 이상</w:t>
            </w:r>
          </w:p>
        </w:tc>
      </w:tr>
      <w:tr>
        <w:tc>
          <w:tcPr>
            <w:tcW w:w="1440" w:type="dxa"/>
            <w:shd w:val="clear" w:color="auto" w:fill="EEF2FF"/>
          </w:tcPr>
          <w:p>
            <w:r>
              <w:rPr>
                <w:b/>
                <w:sz w:val="20"/>
              </w:rPr>
              <w:t>2층
고단가</w:t>
            </w:r>
          </w:p>
        </w:tc>
        <w:tc>
          <w:tcPr>
            <w:tcW w:w="2400" w:type="dxa"/>
          </w:tcPr>
          <w:p>
            <w:r>
              <w:rPr>
                <w:sz w:val="20"/>
              </w:rPr>
              <w:t>직접 개입으로 고수익</w:t>
            </w:r>
          </w:p>
        </w:tc>
        <w:tc>
          <w:tcPr>
            <w:tcW w:w="2400" w:type="dxa"/>
          </w:tcPr>
          <w:p>
            <w:r>
              <w:rPr>
                <w:sz w:val="20"/>
              </w:rPr>
              <w:t>1:1 코칭, 컨설팅, 강연</w:t>
            </w:r>
          </w:p>
        </w:tc>
        <w:tc>
          <w:tcPr>
            <w:tcW w:w="2400" w:type="dxa"/>
          </w:tcPr>
          <w:p>
            <w:r>
              <w:rPr>
                <w:sz w:val="20"/>
              </w:rPr>
              <w:t>30% 내외</w:t>
            </w:r>
          </w:p>
        </w:tc>
      </w:tr>
      <w:tr>
        <w:tc>
          <w:tcPr>
            <w:tcW w:w="1440" w:type="dxa"/>
            <w:shd w:val="clear" w:color="auto" w:fill="EEF2FF"/>
          </w:tcPr>
          <w:p>
            <w:r>
              <w:rPr>
                <w:b/>
                <w:sz w:val="20"/>
              </w:rPr>
              <w:t>3층
실험</w:t>
            </w:r>
          </w:p>
        </w:tc>
        <w:tc>
          <w:tcPr>
            <w:tcW w:w="2400" w:type="dxa"/>
          </w:tcPr>
          <w:p>
            <w:r>
              <w:rPr>
                <w:sz w:val="20"/>
              </w:rPr>
              <w:t>Ne를 위한 새 아이디어 실험</w:t>
            </w:r>
          </w:p>
        </w:tc>
        <w:tc>
          <w:tcPr>
            <w:tcW w:w="2400" w:type="dxa"/>
          </w:tcPr>
          <w:p>
            <w:r>
              <w:rPr>
                <w:sz w:val="20"/>
              </w:rPr>
              <w:t>새 프로젝트, 파일럿, 신규 시장</w:t>
            </w:r>
          </w:p>
        </w:tc>
        <w:tc>
          <w:tcPr>
            <w:tcW w:w="2400" w:type="dxa"/>
          </w:tcPr>
          <w:p>
            <w:r>
              <w:rPr>
                <w:sz w:val="20"/>
              </w:rPr>
              <w:t>10% 이하</w:t>
            </w:r>
          </w:p>
        </w:tc>
      </w:tr>
    </w:tbl>
    <w:p>
      <w:pPr>
        <w:spacing w:before="0" w:after="160"/>
      </w:pPr>
    </w:p>
    <w:p>
      <w:pPr>
        <w:pStyle w:val="Heading2"/>
      </w:pPr>
      <w:r>
        <w:t>Ne와 돈의 완전한 통합 — 재정 자아 선언문</w:t>
      </w:r>
    </w:p>
    <w:p>
      <w:pPr>
        <w:spacing w:before="0" w:after="120"/>
      </w:pPr>
      <w:r>
        <w:t xml:space="preserve">아래 선언문을 직접 채워보세요. 이것은 지식이 아니라 실천입니다.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질문</w:t>
            </w:r>
          </w:p>
        </w:tc>
        <w:tc>
          <w:tcPr>
            <w:tcW w:w="5520" w:type="dxa"/>
            <w:shd w:val="clear" w:color="auto" w:fill="2C3E7A"/>
          </w:tcPr>
          <w:p>
            <w:r>
              <w:rPr>
                <w:b/>
                <w:color w:val="FFFFFF"/>
                <w:sz w:val="20"/>
              </w:rPr>
              <w:t>나의 답</w:t>
            </w:r>
          </w:p>
        </w:tc>
      </w:tr>
      <w:tr>
        <w:tc>
          <w:tcPr>
            <w:tcW w:w="3120" w:type="dxa"/>
            <w:shd w:val="clear" w:color="auto" w:fill="EEF2FF"/>
          </w:tcPr>
          <w:p>
            <w:r>
              <w:rPr>
                <w:sz w:val="20"/>
              </w:rPr>
              <w:t>내 돈 버는 핵심 재능은?</w:t>
            </w:r>
          </w:p>
        </w:tc>
        <w:tc>
          <w:tcPr>
            <w:tcW w:w="5520" w:type="dxa"/>
          </w:tcPr>
          <w:p>
            <w:r>
              <w:rPr>
                <w:color w:val="AAAAAA"/>
                <w:sz w:val="20"/>
              </w:rPr>
              <w:t>직접 작성...</w:t>
            </w:r>
          </w:p>
        </w:tc>
      </w:tr>
      <w:tr>
        <w:tc>
          <w:tcPr>
            <w:tcW w:w="3120" w:type="dxa"/>
            <w:shd w:val="clear" w:color="auto" w:fill="EEF2FF"/>
          </w:tcPr>
          <w:p>
            <w:r>
              <w:rPr>
                <w:sz w:val="20"/>
              </w:rPr>
              <w:t>내가 완성해야 할 첫 번째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위임할 재정 루틴 한 가지는?</w:t>
            </w:r>
          </w:p>
        </w:tc>
        <w:tc>
          <w:tcPr>
            <w:tcW w:w="5520" w:type="dxa"/>
          </w:tcPr>
          <w:p>
            <w:r>
              <w:rPr>
                <w:color w:val="AAAAAA"/>
                <w:sz w:val="20"/>
              </w:rPr>
              <w:t>직접 작성...</w:t>
            </w:r>
          </w:p>
        </w:tc>
      </w:tr>
    </w:tbl>
    <w:p>
      <w:pPr>
        <w:spacing w:before="160" w:after="120"/>
      </w:pPr>
      <w:r>
        <w:rPr>
          <w:i/>
          <w:color w:val="2C3E7A"/>
        </w:rPr>
        <w:t xml:space="preserve">“SPARK형에게 돈은 목적이 아니라 더 많은 가능성의 문을 여는 열쇠입니다. 그 열쇠를 만들기 위해 필요한 것은 완성이라는 용기입니다.”</w:t>
      </w:r>
    </w:p>
    <w:p>
      <w:pPr>
        <w:pStyle w:val="Heading1"/>
      </w:pPr>
      <w:r>
        <w:t xml:space="preserve">Master Edition을 시작하며</w:t>
      </w:r>
    </w:p>
    <w:p>
      <w:pPr>
        <w:spacing w:before="40" w:after="80"/>
      </w:pPr>
      <w:r>
        <w:rPr>
          <w:sz w:val="22"/>
          <w:szCs w:val="22"/>
        </w:rPr>
        <w:t xml:space="preserve">당신은 Tier1에서 자신의 Ne를 목격했고, Tier2에서 Si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탐험가에서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탐험가의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탐험가.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탐험가에서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탐험가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탐험가</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Si 그림자의 4가지 패턴을 만났습니다. Master Edition에서는 더 깊이 들어갑니다. Si 그림자가 작동하는 무의식의 메커니즘을 이해하고, 완전한 통합을 위한 심층 작업을 합니다.</w:t>
      </w:r>
    </w:p>
    <w:p>
      <w:pPr>
        <w:spacing w:before="0" w:after="60"/>
      </w:pPr>
    </w:p>
    <w:p>
      <w:pPr>
        <w:pStyle w:val="Heading3"/>
      </w:pPr>
      <w:r>
        <w:rPr>
          <w:color w:val="C17B25"/>
        </w:rPr>
        <w:t xml:space="preserve">Si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Si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SPARK</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탐험가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'탐험가'에서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탐험가들을 격려하고 지원</w:t>
            </w:r>
          </w:p>
        </w:tc>
      </w:tr>
    </w:tbl>
    <w:p>
      <w:pPr>
        <w:spacing w:before="0" w:after="80"/>
      </w:pPr>
    </w:p>
    <w:p>
      <w:pPr>
        <w:pStyle w:val="Heading3"/>
      </w:pPr>
      <w:r>
        <w:rPr>
          <w:color w:val="C17B25"/>
        </w:rPr>
        <w:t xml:space="preserve">SPARK의 성숙한 노년: 지혜로운 탐험가</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탐험가'가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탐험가의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탐험가들에게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Si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탐험가의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탐험가의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Si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