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/>
            <w:tcMar>
              <w:top w:type="dxa" w:w="640"/>
              <w:left w:type="dxa" w:w="480"/>
              <w:bottom w:type="dxa" w:w="640"/>
              <w:right w:type="dxa" w:w="480"/>
            </w:tcMar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spacing w:val="280"/>
                <w:sz w:val="18"/>
                <w:szCs w:val="18"/>
              </w:rPr>
              <w:t xml:space="preserve">SHADOWGRAM</w:t>
            </w:r>
          </w:p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TI — LÓGICA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spacing w:val="200"/>
                <w:sz w:val="18"/>
                <w:szCs w:val="18"/>
              </w:rPr>
              <w:t xml:space="preserve">TIER 2</w:t>
            </w:r>
          </w:p>
          <w:p>
            <w:pPr>
              <w:spacing w:before="6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64"/>
                <w:szCs w:val="64"/>
              </w:rPr>
              <w:t xml:space="preserve">El Mapa de</w:t>
            </w:r>
          </w:p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tu Sombra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spacing w:val="100"/>
                <w:sz w:val="18"/>
                <w:szCs w:val="18"/>
              </w:rPr>
              <w:t xml:space="preserve">TRANSFORMACIÓN · $27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6655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pPr>
              <w:spacing w:before="0" w:after="5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Has llegado al Mapa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A2D9CE"/>
                <w:sz w:val="19"/>
                <w:szCs w:val="19"/>
              </w:rPr>
              <w:t xml:space="preserve">Aquí no hay diagnóstico — hay herramientas para transformar</w:t>
            </w:r>
          </w:p>
        </w:tc>
      </w:tr>
    </w:tbl>
    <w:p>
      <w:pPr>
        <w:spacing w:before="100" w:after="6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2EB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pBdr>
                <w:bottom w:val="single" w:color="17A589" w:sz="4" w:space="1"/>
              </w:pBd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0E6655"/>
                <w:sz w:val="22"/>
                <w:szCs w:val="22"/>
              </w:rPr>
              <w:t xml:space="preserve">Lo que encontrarás en este reporte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0E6655"/>
                <w:sz w:val="20"/>
                <w:szCs w:val="20"/>
              </w:rPr>
              <w:t xml:space="preserve">Parte I: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Anatomía completa de tu sombra — las raíces, no solo los síntomas.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0E6655"/>
                <w:sz w:val="20"/>
                <w:szCs w:val="20"/>
              </w:rPr>
              <w:t xml:space="preserve">Parte II: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Tu sombra en el contexto de vida — Reinvención, Soledad, Envejecimiento, Espiritualidad.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0E6655"/>
                <w:sz w:val="20"/>
                <w:szCs w:val="20"/>
              </w:rPr>
              <w:t xml:space="preserve">Parte III: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Plan de 30 días de Reinvención Personal — acciones concretas, semana a semana.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0E6655"/>
                <w:sz w:val="20"/>
                <w:szCs w:val="20"/>
              </w:rPr>
              <w:t xml:space="preserve">Parte IV: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Reflexión integradora — carta de cierre y próximos pasos.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6655" w:val="clear"/>
            <w:tcMar>
              <w:top w:type="dxa" w:w="220"/>
              <w:left w:type="dxa" w:w="360"/>
              <w:bottom w:type="dxa" w:w="220"/>
              <w:right w:type="dxa" w:w="360"/>
            </w:tcMar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color w:val="A8DFCA"/>
                <w:sz w:val="18"/>
                <w:szCs w:val="18"/>
              </w:rPr>
              <w:t xml:space="preserve">PARTE I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Anatomía Completa de tu Sombra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A8DFCA"/>
                <w:sz w:val="18"/>
                <w:szCs w:val="18"/>
              </w:rPr>
              <w:t xml:space="preserve">Más allá del síntoma: las raíces del tipo TI</w:t>
            </w:r>
          </w:p>
        </w:tc>
      </w:tr>
    </w:tbl>
    <w:p>
      <w:pPr>
        <w:spacing w:before="100" w:after="6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single" w:color="1ABC9C" w:sz="4" w:space="1"/>
        </w:pBdr>
        <w:spacing w:before="260" w:after="100"/>
      </w:pPr>
      <w:r>
        <w:rPr>
          <w:rFonts w:ascii="Arial" w:cs="Arial" w:eastAsia="Arial" w:hAnsi="Arial"/>
          <w:b/>
          <w:bCs/>
          <w:color w:val="0E6655"/>
          <w:sz w:val="26"/>
          <w:szCs w:val="26"/>
        </w:rPr>
        <w:t xml:space="preserve">1.1  Por qué se forma la sombra TI</w:t>
      </w:r>
    </w:p>
    <w:p>
      <w:pPr>
        <w:spacing w:before="30" w:after="5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ECF7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pBdr>
                <w:bottom w:val="single" w:color="17A589" w:sz="4" w:space="1"/>
              </w:pBd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6C3483"/>
                <w:sz w:val="22"/>
                <w:szCs w:val="22"/>
              </w:rPr>
              <w:t xml:space="preserve">La raíz psicológica — Sombra según Jung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Tu función inferior es Fe — la armonía, la conexión, el impacto emocional en otros. Lo que rechazas se convierte en tu sombra.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La sombra no es tu defecto. Es la parte de ti que más necesita integración.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Cuando la integras, tu don se vuelve completo.</w:t>
            </w:r>
          </w:p>
        </w:tc>
      </w:tr>
    </w:tbl>
    <w:p>
      <w:pPr>
        <w:spacing w:before="7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single" w:color="1ABC9C" w:sz="4" w:space="1"/>
        </w:pBdr>
        <w:spacing w:before="260" w:after="100"/>
      </w:pPr>
      <w:r>
        <w:rPr>
          <w:rFonts w:ascii="Arial" w:cs="Arial" w:eastAsia="Arial" w:hAnsi="Arial"/>
          <w:b/>
          <w:bCs/>
          <w:color w:val="0E6655"/>
          <w:sz w:val="26"/>
          <w:szCs w:val="26"/>
        </w:rPr>
        <w:t xml:space="preserve">1.2  El Over-Shining — cuando tu don se convierte en trampa</w:t>
      </w:r>
    </w:p>
    <w:p>
      <w:pPr>
        <w:spacing w:before="30" w:after="5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33"/>
        <w:gridCol w:w="4433"/>
      </w:tblGrid>
      <w:tr>
        <w:tc>
          <w:tcPr>
            <w:tcW w:type="dxa" w:w="44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DBD8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top"/>
          </w:tcPr>
          <w:p>
            <w:pPr>
              <w:spacing w:before="36" w:after="50"/>
            </w:pPr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LO QUE RECHAZAS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Corrección compulsiva:: cuando algo es inexacto, no puedes dejarlo pasar aunque el momento no lo pida.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Desconexión emocional:: las emociones son datos que no sabes cómo procesar con tu sistema.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44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5E3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top"/>
          </w:tcPr>
          <w:p>
            <w:pPr>
              <w:spacing w:before="36" w:after="50"/>
            </w:pPr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LO QUE NECESITAS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Escucha sin análisis:: cuando alguien habla de algo que le importa, escucha sin evaluar su lógica.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Expresión directa:: dile a alguien cercano algo que sientes, no que piensas sobre lo que sientes.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</w:tbl>
    <w:p>
      <w:pPr>
        <w:spacing w:before="7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single" w:color="1ABC9C" w:sz="4" w:space="1"/>
        </w:pBdr>
        <w:spacing w:before="260" w:after="100"/>
      </w:pPr>
      <w:r>
        <w:rPr>
          <w:rFonts w:ascii="Arial" w:cs="Arial" w:eastAsia="Arial" w:hAnsi="Arial"/>
          <w:b/>
          <w:bCs/>
          <w:color w:val="0E6655"/>
          <w:sz w:val="26"/>
          <w:szCs w:val="26"/>
        </w:rPr>
        <w:t xml:space="preserve">1.3  Las 4 caras de tu sombra en profundidad</w:t>
      </w:r>
    </w:p>
    <w:p>
      <w:pPr>
        <w:spacing w:before="30" w:after="5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E6655" w:sz="2"/>
              <w:left w:val="single" w:color="0E6655" w:sz="2"/>
              <w:bottom w:val="single" w:color="0E6655" w:sz="2"/>
              <w:right w:val="single" w:color="0E6655" w:sz="2"/>
            </w:tcBorders>
            <w:shd w:fill="D1F2EB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0E6655"/>
                <w:sz w:val="40"/>
                <w:szCs w:val="40"/>
              </w:rPr>
              <w:t xml:space="preserve">01</w:t>
            </w:r>
          </w:p>
          <w:p>
            <w:pPr>
              <w:pBdr>
                <w:bottom w:val="single" w:color="0E6655" w:sz="3" w:space="1"/>
              </w:pBd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Corrección compulsiva: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cuando algo es inexacto, no puedes dejarlo pasar aunque el momento no lo pida.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/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Esta sombra actúa principalmente en tus relaciones más cercanas.</w:t>
            </w:r>
          </w:p>
        </w:tc>
      </w:tr>
    </w:tbl>
    <w:p>
      <w:pPr>
        <w:spacing w:before="40" w:after="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7D6608" w:sz="2"/>
              <w:left w:val="single" w:color="7D6608" w:sz="2"/>
              <w:bottom w:val="single" w:color="7D6608" w:sz="2"/>
              <w:right w:val="single" w:color="7D6608" w:sz="2"/>
            </w:tcBorders>
            <w:shd w:fill="FEF9E7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7D6608"/>
                <w:sz w:val="40"/>
                <w:szCs w:val="40"/>
              </w:rPr>
              <w:t xml:space="preserve">02</w:t>
            </w:r>
          </w:p>
          <w:p>
            <w:pPr>
              <w:pBdr>
                <w:bottom w:val="single" w:color="7D6608" w:sz="3" w:space="1"/>
              </w:pBd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Desconexión emocional: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las emociones son datos que no sabes cómo procesar con tu sistema.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/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Esta sombra actúa principalmente en tu trabajo y proyectos.</w:t>
            </w:r>
          </w:p>
        </w:tc>
      </w:tr>
    </w:tbl>
    <w:p>
      <w:pPr>
        <w:spacing w:before="40" w:after="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6C3483" w:sz="2"/>
              <w:left w:val="single" w:color="6C3483" w:sz="2"/>
              <w:bottom w:val="single" w:color="6C3483" w:sz="2"/>
              <w:right w:val="single" w:color="6C3483" w:sz="2"/>
            </w:tcBorders>
            <w:shd w:fill="F4ECF7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6C3483"/>
                <w:sz w:val="40"/>
                <w:szCs w:val="40"/>
              </w:rPr>
              <w:t xml:space="preserve">03</w:t>
            </w:r>
          </w:p>
          <w:p>
            <w:pPr>
              <w:pBdr>
                <w:bottom w:val="single" w:color="6C3483" w:sz="3" w:space="1"/>
              </w:pBd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Aislamiento del experto: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tu profundidad intelectual puede hacer que pocos quieran acercarse.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/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Esta sombra actúa principalmente en tu relación contigo mismo.</w:t>
            </w:r>
          </w:p>
        </w:tc>
      </w:tr>
    </w:tbl>
    <w:p>
      <w:pPr>
        <w:spacing w:before="40" w:after="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22B21" w:sz="2"/>
              <w:left w:val="single" w:color="922B21" w:sz="2"/>
              <w:bottom w:val="single" w:color="922B21" w:sz="2"/>
              <w:right w:val="single" w:color="922B21" w:sz="2"/>
            </w:tcBorders>
            <w:shd w:fill="FADBD8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922B21"/>
                <w:sz w:val="40"/>
                <w:szCs w:val="40"/>
              </w:rPr>
              <w:t xml:space="preserve">04</w:t>
            </w:r>
          </w:p>
          <w:p>
            <w:pPr>
              <w:pBdr>
                <w:bottom w:val="single" w:color="922B21" w:sz="3" w:space="1"/>
              </w:pBd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Análisis sin acción: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entiendes perfectamente lo que deberías hacer pero no lo haces.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/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Esta sombra actúa principalmente en tu sentido de propósito.</w:t>
            </w:r>
          </w:p>
        </w:tc>
      </w:tr>
    </w:tbl>
    <w:p>
      <w:pPr>
        <w:spacing w:before="40" w:after="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12F3C" w:val="clear"/>
            <w:tcMar>
              <w:top w:type="dxa" w:w="220"/>
              <w:left w:type="dxa" w:w="360"/>
              <w:bottom w:type="dxa" w:w="220"/>
              <w:right w:type="dxa" w:w="360"/>
            </w:tcMar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color w:val="A8DFCA"/>
                <w:sz w:val="18"/>
                <w:szCs w:val="18"/>
              </w:rPr>
              <w:t xml:space="preserve">PARTE II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Tu Sombra en el Contexto de tu Vida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A8DFCA"/>
                <w:sz w:val="18"/>
                <w:szCs w:val="18"/>
              </w:rPr>
              <w:t xml:space="preserve">Reinvención · Soledad · Envejecimiento · Espiritualidad</w:t>
            </w:r>
          </w:p>
        </w:tc>
      </w:tr>
    </w:tbl>
    <w:p>
      <w:pPr>
        <w:spacing w:before="100" w:after="6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single" w:color="1ABC9C" w:sz="4" w:space="1"/>
        </w:pBdr>
        <w:spacing w:before="260" w:after="100"/>
      </w:pPr>
      <w:r>
        <w:rPr>
          <w:rFonts w:ascii="Arial" w:cs="Arial" w:eastAsia="Arial" w:hAnsi="Arial"/>
          <w:b/>
          <w:bCs/>
          <w:color w:val="0E6655"/>
          <w:sz w:val="26"/>
          <w:szCs w:val="26"/>
        </w:rPr>
        <w:t xml:space="preserve">2.1  Reinvención Personal — el tipo TI en los 40-60</w:t>
      </w:r>
    </w:p>
    <w:p>
      <w:pPr>
        <w:spacing w:before="30" w:after="5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2EB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La mediana edad no es el final de tu historia. Es el capítulo donde el personaje se vuelve real.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Para el tipo TI, la Reinvención no es cambiar quién eres.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Es integrar las partes que has estado rechazando — y usarlas.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0E6655"/>
                <w:sz w:val="20"/>
                <w:szCs w:val="20"/>
              </w:rPr>
              <w:t xml:space="preserve">Pregunta de Reinvención: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¿Qué versión de ti mismo has estado pospone que ahora es urgente?</w:t>
            </w:r>
          </w:p>
        </w:tc>
      </w:tr>
    </w:tbl>
    <w:p>
      <w:pPr>
        <w:spacing w:before="7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single" w:color="1ABC9C" w:sz="4" w:space="1"/>
        </w:pBdr>
        <w:spacing w:before="260" w:after="100"/>
      </w:pPr>
      <w:r>
        <w:rPr>
          <w:rFonts w:ascii="Arial" w:cs="Arial" w:eastAsia="Arial" w:hAnsi="Arial"/>
          <w:b/>
          <w:bCs/>
          <w:color w:val="0E6655"/>
          <w:sz w:val="26"/>
          <w:szCs w:val="26"/>
        </w:rPr>
        <w:t xml:space="preserve">2.2  Soledad Elegida — el recurso que no sabes usar</w:t>
      </w:r>
    </w:p>
    <w:p>
      <w:pPr>
        <w:spacing w:before="30" w:after="5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33"/>
        <w:gridCol w:w="4433"/>
      </w:tblGrid>
      <w:tr>
        <w:tc>
          <w:tcPr>
            <w:tcW w:type="dxa" w:w="44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DBD8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top"/>
          </w:tcPr>
          <w:p>
            <w:pPr>
              <w:spacing w:before="36" w:after="50"/>
            </w:pPr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SOLEDAD IMPUESTA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Resultado del aislamiento por sombra.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Silencio que duele y no enseña.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Huir de las personas.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44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5E3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top"/>
          </w:tcPr>
          <w:p>
            <w:pPr>
              <w:spacing w:before="36" w:after="50"/>
            </w:pPr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SOLEDAD ELEGIDA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Espacio para integrar lo que viviste.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Silencio que ilumina y transforma.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Volver a las personas renovado.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</w:tbl>
    <w:p>
      <w:pPr>
        <w:spacing w:before="50" w:after="3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2EB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pBdr>
                <w:bottom w:val="single" w:color="17A589" w:sz="4" w:space="1"/>
              </w:pBd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0E6655"/>
                <w:sz w:val="22"/>
                <w:szCs w:val="22"/>
              </w:rPr>
              <w:t xml:space="preserve">Práctica: 20 minutos de Soledad Elegida diaria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Sin teléfono. Sin música. Sin agenda.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Solo tú y lo que surge.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En las primeras semanas será incómodo — esa incomodidad es la sombra hablando.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i/>
                <w:iCs/>
                <w:color w:val="2C3E50"/>
                <w:sz w:val="20"/>
                <w:szCs w:val="20"/>
              </w:rPr>
              <w:t xml:space="preserve">Escúchala. Tiene algo importante que decirte.</w:t>
            </w:r>
          </w:p>
        </w:tc>
      </w:tr>
    </w:tbl>
    <w:p>
      <w:pPr>
        <w:spacing w:before="7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single" w:color="1ABC9C" w:sz="4" w:space="1"/>
        </w:pBdr>
        <w:spacing w:before="260" w:after="100"/>
      </w:pPr>
      <w:r>
        <w:rPr>
          <w:rFonts w:ascii="Arial" w:cs="Arial" w:eastAsia="Arial" w:hAnsi="Arial"/>
          <w:b/>
          <w:bCs/>
          <w:color w:val="0E6655"/>
          <w:sz w:val="26"/>
          <w:szCs w:val="26"/>
        </w:rPr>
        <w:t xml:space="preserve">2.3  Aceptación del Envejecimiento — lo que ganas al madurar</w:t>
      </w:r>
    </w:p>
    <w:p>
      <w:pPr>
        <w:spacing w:before="30" w:after="5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33"/>
        <w:gridCol w:w="4433"/>
      </w:tblGrid>
      <w:tr>
        <w:tc>
          <w:tcPr>
            <w:tcW w:type="dxa" w:w="44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DBD8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top"/>
          </w:tcPr>
          <w:p>
            <w:pPr>
              <w:spacing w:before="36" w:after="50"/>
            </w:pPr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LO QUE PIERDE EL TI AL ENVEJECER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Energía ilimitada de la juventud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La sensación de que hay tiempo infinito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La posibilidad de cambiar todo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44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5E3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top"/>
          </w:tcPr>
          <w:p>
            <w:pPr>
              <w:spacing w:before="36" w:after="50"/>
            </w:pPr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LO QUE GANA EL TI AL ENVEJECER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Criterio para saber qué merece energía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Urgencia que produce claridad real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Profundidad que no se puede comprar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</w:tbl>
    <w:p>
      <w:pPr>
        <w:spacing w:before="50" w:after="3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7A589" w:sz="2"/>
              <w:left w:val="none" w:color="FFFFFF" w:sz="0"/>
              <w:bottom w:val="single" w:color="17A589" w:sz="2"/>
              <w:right w:val="none" w:color="FFFFFF" w:sz="0"/>
            </w:tcBorders>
            <w:shd w:fill="FFFFFF" w:val="clear"/>
            <w:tcMar>
              <w:top w:type="dxa" w:w="160"/>
              <w:left w:type="dxa" w:w="400"/>
              <w:bottom w:type="dxa" w:w="160"/>
              <w:right w:type="dxa" w:w="40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i/>
                <w:iCs/>
                <w:color w:val="2C3E50"/>
                <w:sz w:val="22"/>
                <w:szCs w:val="22"/>
              </w:rPr>
              <w:t xml:space="preserve">"El envejecimiento no te quita posibilidades. Te obliga a elegir las que realmente importan."</w:t>
            </w:r>
          </w:p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color w:val="7F8C8D"/>
                <w:sz w:val="18"/>
                <w:szCs w:val="18"/>
              </w:rPr>
              <w:t xml:space="preserve">— Shadowgram</w:t>
            </w:r>
          </w:p>
        </w:tc>
      </w:tr>
    </w:tbl>
    <w:p>
      <w:pPr>
        <w:spacing w:before="7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single" w:color="1ABC9C" w:sz="4" w:space="1"/>
        </w:pBdr>
        <w:spacing w:before="260" w:after="100"/>
      </w:pPr>
      <w:r>
        <w:rPr>
          <w:rFonts w:ascii="Arial" w:cs="Arial" w:eastAsia="Arial" w:hAnsi="Arial"/>
          <w:b/>
          <w:bCs/>
          <w:color w:val="0E6655"/>
          <w:sz w:val="26"/>
          <w:szCs w:val="26"/>
        </w:rPr>
        <w:t xml:space="preserve">2.4  Espiritualidad No Religiosa — la mística del tipo TI</w:t>
      </w:r>
    </w:p>
    <w:p>
      <w:pPr>
        <w:spacing w:before="30" w:after="5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E7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 necesitas religión para tener una vida espiritual profunda.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Tu espiritualidad natural como tipo TI es única.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La Individuación de Jung ES un proceso espiritual — la búsqueda del Sí-mismo completo.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7D6608"/>
                <w:sz w:val="20"/>
                <w:szCs w:val="20"/>
              </w:rPr>
              <w:t xml:space="preserve">Práctica espiritual: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encuentra una disciplina que una mente + cuerpo + presencia.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7D6608"/>
                <w:sz w:val="20"/>
                <w:szCs w:val="20"/>
              </w:rPr>
              <w:t xml:space="preserve">No como hobby: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como ancla semanal que te regresa a quién eres cuando te pierdes.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8449" w:val="clear"/>
            <w:tcMar>
              <w:top w:type="dxa" w:w="220"/>
              <w:left w:type="dxa" w:w="360"/>
              <w:bottom w:type="dxa" w:w="220"/>
              <w:right w:type="dxa" w:w="360"/>
            </w:tcMar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color w:val="A8DFCA"/>
                <w:sz w:val="18"/>
                <w:szCs w:val="18"/>
              </w:rPr>
              <w:t xml:space="preserve">PARTE III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Plan de 30 Días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A8DFCA"/>
                <w:sz w:val="18"/>
                <w:szCs w:val="18"/>
              </w:rPr>
              <w:t xml:space="preserve">Reinvención Personal TI — de la sombra a la integración</w:t>
            </w:r>
          </w:p>
        </w:tc>
      </w:tr>
    </w:tbl>
    <w:p>
      <w:pPr>
        <w:spacing w:before="100" w:after="6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2EB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pBdr>
                <w:bottom w:val="single" w:color="17A589" w:sz="4" w:space="1"/>
              </w:pBd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0E6655"/>
                <w:sz w:val="22"/>
                <w:szCs w:val="22"/>
              </w:rPr>
              <w:t xml:space="preserve">Principios del plan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0E6655"/>
                <w:sz w:val="20"/>
                <w:szCs w:val="20"/>
              </w:rPr>
              <w:t xml:space="preserve">Principio 1: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Este plan no es sobre hacer más — es sobre ser diferente.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0E6655"/>
                <w:sz w:val="20"/>
                <w:szCs w:val="20"/>
              </w:rPr>
              <w:t xml:space="preserve">Principio 2: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30 minutos diarios de constancia supera 3 horas de intensidad semanal.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0E6655"/>
                <w:sz w:val="20"/>
                <w:szCs w:val="20"/>
              </w:rPr>
              <w:t xml:space="preserve">Principio 3: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El objetivo no es completar el plan. Es instalar nuevos patrones.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0E6655"/>
                <w:sz w:val="20"/>
                <w:szCs w:val="20"/>
              </w:rPr>
              <w:t xml:space="preserve">Principio 4: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Lleva un diario mínimo. Una línea diaria. El registro cambia el cerebro.</w:t>
            </w:r>
          </w:p>
        </w:tc>
      </w:tr>
    </w:tbl>
    <w:p>
      <w:pPr>
        <w:spacing w:before="6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626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665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Semana 1</w:t>
            </w:r>
          </w:p>
        </w:tc>
        <w:tc>
          <w:tcPr>
            <w:tcW w:type="dxa" w:w="7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7A58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 Conexión — Salir de la Torre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2E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6655"/>
                <w:sz w:val="19"/>
                <w:szCs w:val="19"/>
              </w:rPr>
              <w:t xml:space="preserve">Día 1–2</w:t>
            </w:r>
          </w:p>
        </w:tc>
        <w:tc>
          <w:tcPr>
            <w:tcW w:type="dxa" w:w="7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2E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Escribe: ¿cuándo fue la última vez que me conecté emocionalmente con alguien sin analizar nada?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6655"/>
                <w:sz w:val="19"/>
                <w:szCs w:val="19"/>
              </w:rPr>
              <w:t xml:space="preserve">Día 3–4</w:t>
            </w:r>
          </w:p>
        </w:tc>
        <w:tc>
          <w:tcPr>
            <w:tcW w:type="dxa" w:w="7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Conversación de 20 minutos donde no corriges, no analizas, solo escuchas.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2E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6655"/>
                <w:sz w:val="19"/>
                <w:szCs w:val="19"/>
              </w:rPr>
              <w:t xml:space="preserve">Día 5–6</w:t>
            </w:r>
          </w:p>
        </w:tc>
        <w:tc>
          <w:tcPr>
            <w:tcW w:type="dxa" w:w="7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2E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Comparte algo que no entiendes completamente — sin la necesidad de resolverlo antes.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6655"/>
                <w:sz w:val="19"/>
                <w:szCs w:val="19"/>
              </w:rPr>
              <w:t xml:space="preserve">Día 7</w:t>
            </w:r>
          </w:p>
        </w:tc>
        <w:tc>
          <w:tcPr>
            <w:tcW w:type="dxa" w:w="7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Carta a alguien cercano sobre lo que sientes (no lo que piensas) de él o ella.</w:t>
            </w:r>
          </w:p>
        </w:tc>
      </w:tr>
    </w:tbl>
    <w:p>
      <w:pPr>
        <w:spacing w:before="40" w:after="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626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665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Semana 2</w:t>
            </w:r>
          </w:p>
        </w:tc>
        <w:tc>
          <w:tcPr>
            <w:tcW w:type="dxa" w:w="7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7A58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Acción — Del Análisis al Movimiento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6655"/>
                <w:sz w:val="19"/>
                <w:szCs w:val="19"/>
              </w:rPr>
              <w:t xml:space="preserve">Día 8–9</w:t>
            </w:r>
          </w:p>
        </w:tc>
        <w:tc>
          <w:tcPr>
            <w:tcW w:type="dxa" w:w="7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Identifica algo que llevas analizando más de 3 meses. Toma una decisión esta semana.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6655"/>
                <w:sz w:val="19"/>
                <w:szCs w:val="19"/>
              </w:rPr>
              <w:t xml:space="preserve">Día 10–11</w:t>
            </w:r>
          </w:p>
        </w:tc>
        <w:tc>
          <w:tcPr>
            <w:tcW w:type="dxa" w:w="7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Inicia algo sin tener el sistema completo. El 60% es suficiente para empezar.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6655"/>
                <w:sz w:val="19"/>
                <w:szCs w:val="19"/>
              </w:rPr>
              <w:t xml:space="preserve">Día 12–13</w:t>
            </w:r>
          </w:p>
        </w:tc>
        <w:tc>
          <w:tcPr>
            <w:tcW w:type="dxa" w:w="7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Comparte un trabajo en proceso con alguien. Antes de que esté perfecto.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6655"/>
                <w:sz w:val="19"/>
                <w:szCs w:val="19"/>
              </w:rPr>
              <w:t xml:space="preserve">Día 14</w:t>
            </w:r>
          </w:p>
        </w:tc>
        <w:tc>
          <w:tcPr>
            <w:tcW w:type="dxa" w:w="7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Revisión: ¿qué se sintió diferente actuar antes de tener certeza total?</w:t>
            </w:r>
          </w:p>
        </w:tc>
      </w:tr>
    </w:tbl>
    <w:p>
      <w:pPr>
        <w:spacing w:before="40" w:after="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626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665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Semana 3</w:t>
            </w:r>
          </w:p>
        </w:tc>
        <w:tc>
          <w:tcPr>
            <w:tcW w:type="dxa" w:w="7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7A58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 — Tu Conocimiento al Servicio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EC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6655"/>
                <w:sz w:val="19"/>
                <w:szCs w:val="19"/>
              </w:rPr>
              <w:t xml:space="preserve">Día 15–16</w:t>
            </w:r>
          </w:p>
        </w:tc>
        <w:tc>
          <w:tcPr>
            <w:tcW w:type="dxa" w:w="7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EC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Enseña algo que sabes a alguien que lo necesite. Sin evaluarlo, solo servir.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6655"/>
                <w:sz w:val="19"/>
                <w:szCs w:val="19"/>
              </w:rPr>
              <w:t xml:space="preserve">Día 17–18</w:t>
            </w:r>
          </w:p>
        </w:tc>
        <w:tc>
          <w:tcPr>
            <w:tcW w:type="dxa" w:w="7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Pregunta a alguien cuya vida ha tocado tu conocimiento: ¿qué diferencia hizo?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EC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6655"/>
                <w:sz w:val="19"/>
                <w:szCs w:val="19"/>
              </w:rPr>
              <w:t xml:space="preserve">Día 19–20</w:t>
            </w:r>
          </w:p>
        </w:tc>
        <w:tc>
          <w:tcPr>
            <w:tcW w:type="dxa" w:w="7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EC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Diseña cómo tu conocimiento puede servir a algo más grande que tu propio entendimiento.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6655"/>
                <w:sz w:val="19"/>
                <w:szCs w:val="19"/>
              </w:rPr>
              <w:t xml:space="preserve">Día 21</w:t>
            </w:r>
          </w:p>
        </w:tc>
        <w:tc>
          <w:tcPr>
            <w:tcW w:type="dxa" w:w="7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Escribe: ¿qué quiero que mi comprensión del mundo haya contribuido en 20 años?</w:t>
            </w:r>
          </w:p>
        </w:tc>
      </w:tr>
    </w:tbl>
    <w:p>
      <w:pPr>
        <w:spacing w:before="40" w:after="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626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665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Semana 4</w:t>
            </w:r>
          </w:p>
        </w:tc>
        <w:tc>
          <w:tcPr>
            <w:tcW w:type="dxa" w:w="7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7A58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Legado — El Maestro que Trasciende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5E3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6655"/>
                <w:sz w:val="19"/>
                <w:szCs w:val="19"/>
              </w:rPr>
              <w:t xml:space="preserve">Día 22–24</w:t>
            </w:r>
          </w:p>
        </w:tc>
        <w:tc>
          <w:tcPr>
            <w:tcW w:type="dxa" w:w="7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5E3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¿Qué conocimiento o sistema quieres dejar documentado para que otros lo usen después de ti?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6655"/>
                <w:sz w:val="19"/>
                <w:szCs w:val="19"/>
              </w:rPr>
              <w:t xml:space="preserve">Día 25–26</w:t>
            </w:r>
          </w:p>
        </w:tc>
        <w:tc>
          <w:tcPr>
            <w:tcW w:type="dxa" w:w="7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Identifica a 2 personas a quienes quieres transmitir lo que sabes. ¿Cómo comenzarías?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5E3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6655"/>
                <w:sz w:val="19"/>
                <w:szCs w:val="19"/>
              </w:rPr>
              <w:t xml:space="preserve">Día 27–28</w:t>
            </w:r>
          </w:p>
        </w:tc>
        <w:tc>
          <w:tcPr>
            <w:tcW w:type="dxa" w:w="7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5E3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Escribe el primer capítulo, artículo o sesión de lo que quieres enseñar.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6655"/>
                <w:sz w:val="19"/>
                <w:szCs w:val="19"/>
              </w:rPr>
              <w:t xml:space="preserve">Día 29–30</w:t>
            </w:r>
          </w:p>
        </w:tc>
        <w:tc>
          <w:tcPr>
            <w:tcW w:type="dxa" w:w="7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Completa el Worksheet de Legado. Escribe tu declaración de individuación.</w:t>
            </w:r>
          </w:p>
        </w:tc>
      </w:tr>
    </w:tbl>
    <w:p>
      <w:pPr>
        <w:spacing w:before="40" w:after="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6655" w:val="clear"/>
            <w:tcMar>
              <w:top w:type="dxa" w:w="220"/>
              <w:left w:type="dxa" w:w="360"/>
              <w:bottom w:type="dxa" w:w="220"/>
              <w:right w:type="dxa" w:w="360"/>
            </w:tcMar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color w:val="A8DFCA"/>
                <w:sz w:val="18"/>
                <w:szCs w:val="18"/>
              </w:rPr>
              <w:t xml:space="preserve">PARTE IV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Reflexión de Cierre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A8DFCA"/>
                <w:sz w:val="18"/>
                <w:szCs w:val="18"/>
              </w:rPr>
              <w:t xml:space="preserve">El camino que tienes por delante</w:t>
            </w:r>
          </w:p>
        </w:tc>
      </w:tr>
    </w:tbl>
    <w:p>
      <w:pPr>
        <w:spacing w:before="100" w:after="6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87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43"/>
        <w:gridCol w:w="2880"/>
        <w:gridCol w:w="43"/>
        <w:gridCol w:w="2880"/>
      </w:tblGrid>
      <w:tr>
        <w:tc>
          <w:tcPr>
            <w:tcW w:type="dxa" w:w="2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2EB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top"/>
          </w:tcPr>
          <w:p>
            <w:pPr>
              <w:spacing w:before="0" w:after="50"/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32"/>
                <w:szCs w:val="32"/>
              </w:rPr>
              <w:t xml:space="preserve">I</w:t>
            </w:r>
          </w:p>
          <w:p>
            <w:pPr>
              <w:spacing w:before="0" w:after="70"/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AHORA</w:t>
            </w:r>
          </w:p>
          <w:p>
            <w:pPr>
              <w:spacing w:before="26" w:after="26"/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Completa el</w:t>
            </w:r>
          </w:p>
          <w:p>
            <w:pPr>
              <w:spacing w:before="26" w:after="26"/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plan de 30 días</w:t>
            </w:r>
          </w:p>
          <w:p>
            <w:pPr>
              <w:spacing w:before="26" w:after="26"/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Instala las anclas</w:t>
            </w:r>
          </w:p>
        </w:tc>
        <w:tc>
          <w:tcPr>
            <w:tcW w:type="dxa" w:w="4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F8C8D"/>
                <w:sz w:val="20"/>
                <w:szCs w:val="20"/>
              </w:rPr>
              <w:t xml:space="preserve">&gt;</w:t>
            </w:r>
          </w:p>
        </w:tc>
        <w:tc>
          <w:tcPr>
            <w:tcW w:type="dxa" w:w="2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E7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top"/>
          </w:tcPr>
          <w:p>
            <w:pPr>
              <w:spacing w:before="0" w:after="50"/>
              <w:jc w:val="center"/>
            </w:pPr>
            <w:r>
              <w:rPr>
                <w:rFonts w:ascii="Arial" w:cs="Arial" w:eastAsia="Arial" w:hAnsi="Arial"/>
                <w:b/>
                <w:bCs/>
                <w:color w:val="7D6608"/>
                <w:sz w:val="32"/>
                <w:szCs w:val="32"/>
              </w:rPr>
              <w:t xml:space="preserve">II</w:t>
            </w:r>
          </w:p>
          <w:p>
            <w:pPr>
              <w:spacing w:before="0" w:after="70"/>
              <w:jc w:val="center"/>
            </w:pPr>
            <w:r>
              <w:rPr>
                <w:rFonts w:ascii="Arial" w:cs="Arial" w:eastAsia="Arial" w:hAnsi="Arial"/>
                <w:b/>
                <w:bCs/>
                <w:color w:val="7D6608"/>
                <w:sz w:val="21"/>
                <w:szCs w:val="21"/>
              </w:rPr>
              <w:t xml:space="preserve">3-12 MESES</w:t>
            </w:r>
          </w:p>
          <w:p>
            <w:pPr>
              <w:spacing w:before="26" w:after="26"/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Primera acción de</w:t>
            </w:r>
          </w:p>
          <w:p>
            <w:pPr>
              <w:spacing w:before="26" w:after="26"/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legado concreta</w:t>
            </w:r>
          </w:p>
          <w:p>
            <w:pPr>
              <w:spacing w:before="26" w:after="26"/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Patrón instalado</w:t>
            </w:r>
          </w:p>
        </w:tc>
        <w:tc>
          <w:tcPr>
            <w:tcW w:type="dxa" w:w="4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F8C8D"/>
                <w:sz w:val="20"/>
                <w:szCs w:val="20"/>
              </w:rPr>
              <w:t xml:space="preserve">&gt;</w:t>
            </w:r>
          </w:p>
        </w:tc>
        <w:tc>
          <w:tcPr>
            <w:tcW w:type="dxa" w:w="2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5E3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top"/>
          </w:tcPr>
          <w:p>
            <w:pPr>
              <w:spacing w:before="0" w:after="5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32"/>
                <w:szCs w:val="32"/>
              </w:rPr>
              <w:t xml:space="preserve">III</w:t>
            </w:r>
          </w:p>
          <w:p>
            <w:pPr>
              <w:spacing w:before="0" w:after="7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1"/>
                <w:szCs w:val="21"/>
              </w:rPr>
              <w:t xml:space="preserve">1-5 AÑOS</w:t>
            </w:r>
          </w:p>
          <w:p>
            <w:pPr>
              <w:spacing w:before="26" w:after="26"/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Individuación</w:t>
            </w:r>
          </w:p>
          <w:p>
            <w:pPr>
              <w:spacing w:before="26" w:after="26"/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profunda activa</w:t>
            </w:r>
          </w:p>
          <w:p>
            <w:pPr>
              <w:spacing w:before="26" w:after="26"/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Legado en curso</w:t>
            </w:r>
          </w:p>
        </w:tc>
      </w:tr>
    </w:tbl>
    <w:p>
      <w:pPr>
        <w:spacing w:before="80" w:after="6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7D6608" w:sz="16"/>
              <w:bottom w:val="none" w:color="FFFFFF" w:sz="0"/>
              <w:right w:val="none" w:color="FFFFFF" w:sz="0"/>
            </w:tcBorders>
            <w:shd w:fill="FEF9E7" w:val="clear"/>
            <w:tcMar>
              <w:top w:type="dxa" w:w="180"/>
              <w:left w:type="dxa" w:w="280"/>
              <w:bottom w:type="dxa" w:w="180"/>
              <w:right w:type="dxa" w:w="240"/>
            </w:tcMar>
          </w:tcPr>
          <w:p>
            <w:pPr>
              <w:spacing w:before="36" w:after="36"/>
            </w:pPr>
            <w:r>
              <w:rPr>
                <w:rFonts w:ascii="Arial" w:cs="Arial" w:eastAsia="Arial" w:hAnsi="Arial"/>
                <w:i/>
                <w:iCs/>
                <w:color w:val="2C3E50"/>
                <w:sz w:val="20"/>
                <w:szCs w:val="20"/>
              </w:rPr>
              <w:t xml:space="preserve">Has pasado tu vida construyendo un mapa perfecto del mundo.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i/>
                <w:iCs/>
                <w:color w:val="2C3E50"/>
                <w:sz w:val="20"/>
                <w:szCs w:val="20"/>
              </w:rPr>
              <w:t xml:space="preserve">Y en algún momento te diste cuenta de que el mapa no tiene un lugar marcado para ti.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Tu inteligencia no es el problema.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Es la distancia que pusiste entre tú y todo lo que amas para poder pensar con claridad.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La individuación para ti no es entender más.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Es aprender a no entender — y quedarte ahí, con las personas que importan.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i/>
                <w:iCs/>
                <w:color w:val="2C3E50"/>
                <w:sz w:val="20"/>
                <w:szCs w:val="20"/>
              </w:rPr>
              <w:t xml:space="preserve">La conexión que buscas no requiere que tengas razón.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i/>
                <w:iCs/>
                <w:color w:val="2C3E50"/>
                <w:sz w:val="20"/>
                <w:szCs w:val="20"/>
              </w:rPr>
              <w:t xml:space="preserve">Solo requiere que estés presente.</w:t>
            </w:r>
          </w:p>
        </w:tc>
      </w:tr>
    </w:tbl>
    <w:p>
      <w:pPr>
        <w:spacing w:before="80" w:after="6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7A589" w:sz="4"/>
              <w:left w:val="single" w:color="17A589" w:sz="4"/>
              <w:bottom w:val="single" w:color="17A589" w:sz="4"/>
              <w:right w:val="single" w:color="17A589" w:sz="4"/>
            </w:tcBorders>
            <w:shd w:fill="1B2631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22"/>
                <w:szCs w:val="22"/>
              </w:rPr>
              <w:t xml:space="preserve">Tienes el diagnóstico y el mapa. Ahora construye el legado del maestro que trasciende su propia mente.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ABC9C"/>
                <w:spacing w:val="80"/>
                <w:sz w:val="24"/>
                <w:szCs w:val="24"/>
              </w:rPr>
              <w:t xml:space="preserve">Accede al Tier 3: La Transformación  →</w:t>
            </w:r>
          </w:p>
        </w:tc>
      </w:tr>
    </w:tbl>
    <w:p>
      <w:pPr>
        <w:spacing w:before="6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pacing w:before="40" w:after="40"/>
        <w:jc w:val="center"/>
      </w:pPr>
      <w:r>
        <w:rPr>
          <w:rFonts w:ascii="Arial" w:cs="Arial" w:eastAsia="Arial" w:hAnsi="Arial"/>
          <w:i/>
          <w:iCs/>
          <w:color w:val="7F8C8D"/>
          <w:sz w:val="16"/>
          <w:szCs w:val="16"/>
        </w:rPr>
        <w:t xml:space="preserve">shadowgram.com  ·  © Shadowgram. Uso personal exclusivo.</w:t>
      </w:r>
    </w:p>
    <w:sectPr>
      <w:headerReference w:type="default" r:id="rId6"/>
      <w:footerReference w:type="default" r:id="rId7"/>
      <w:pgSz w:w="11906" w:h="16838" w:orient="portrait"/>
      <w:pgMar w:top="960" w:right="860" w:bottom="960" w:left="8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7A589" w:sz="2" w:space="1"/>
      </w:pBdr>
      <w:spacing w:before="60" w:after="0"/>
      <w:jc w:val="center"/>
    </w:pPr>
    <w:r>
      <w:rPr>
        <w:rFonts w:ascii="Arial" w:cs="Arial" w:eastAsia="Arial" w:hAnsi="Arial"/>
        <w:color w:val="7F8C8D"/>
        <w:sz w:val="15"/>
        <w:szCs w:val="15"/>
      </w:rPr>
      <w:t xml:space="preserve">shadowgram.com  ·  Página </w:t>
    </w:r>
    <w:r>
      <w:rPr>
        <w:rFonts w:ascii="Arial" w:cs="Arial" w:eastAsia="Arial" w:hAnsi="Arial"/>
        <w:color w:val="7F8C8D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F8C8D"/>
        <w:sz w:val="15"/>
        <w:szCs w:val="15"/>
      </w:rPr>
      <w:t xml:space="preserve">  ·  Uso personal. Prohibida su reproducción.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7A589" w:sz="2" w:space="1"/>
      </w:pBdr>
      <w:spacing w:before="0" w:after="60"/>
      <w:jc w:val="right"/>
    </w:pPr>
    <w:r>
      <w:rPr>
        <w:rFonts w:ascii="Arial" w:cs="Arial" w:eastAsia="Arial" w:hAnsi="Arial"/>
        <w:color w:val="7F8C8D"/>
        <w:sz w:val="15"/>
        <w:szCs w:val="15"/>
      </w:rPr>
      <w:t xml:space="preserve">SHADOWGRAM  ·  TI  ·  TIER 2 — El Mapa de tu Sombra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2026-02-18T07:17:58.787Z</dcterms:created>
  <dcterms:modified xsi:type="dcterms:W3CDTF">2026-02-18T07:17:58.787Z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