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sz w:val="20"/>
          <w:szCs w:val="20"/>
        </w:rPr>
        <w:t xml:space="preserve">Project Design Phase</w:t>
      </w:r>
    </w:p>
    <w:p>
      <w:pPr>
        <w:spacing w:after="300" w:before="0"/>
        <w:jc w:val="center"/>
      </w:pPr>
      <w:r>
        <w:rPr>
          <w:rFonts w:ascii="Calibri" w:cs="Calibri" w:eastAsia="Calibri" w:hAnsi="Calibri"/>
          <w:b/>
          <w:bCs/>
          <w:sz w:val="20"/>
          <w:szCs w:val="20"/>
        </w:rPr>
        <w:t xml:space="preserve">Proposed Solution Template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5200"/>
      </w:tblGrid>
      <w:t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Date</w:t>
            </w:r>
          </w:p>
        </w:tc>
        <w:tc>
          <w:tcPr>
            <w:tcW w:type="dxa" w:w="5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30 September 2026</w:t>
            </w:r>
          </w:p>
        </w:tc>
      </w:tr>
      <w:t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Team ID</w:t>
            </w:r>
          </w:p>
        </w:tc>
        <w:tc>
          <w:tcPr>
            <w:tcW w:type="dxa" w:w="5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MKU201Team76ab4df35a238dc999eb5e6den</w:t>
            </w:r>
          </w:p>
        </w:tc>
      </w:tr>
      <w:t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Project Name</w:t>
            </w:r>
          </w:p>
        </w:tc>
        <w:tc>
          <w:tcPr>
            <w:tcW w:type="dxa" w:w="5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Streamlining IT Procurement: Automating Standard Laptop Orders with Flow Designer</w:t>
            </w:r>
          </w:p>
        </w:tc>
      </w:tr>
      <w:t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Maximum Marks</w:t>
            </w:r>
          </w:p>
        </w:tc>
        <w:tc>
          <w:tcPr>
            <w:tcW w:type="dxa" w:w="5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2 Marks</w:t>
            </w:r>
          </w:p>
        </w:tc>
      </w:tr>
    </w:tbl>
    <w:p>
      <w:pPr>
        <w:spacing w:after="160" w:before="300"/>
      </w:pPr>
      <w:r>
        <w:rPr>
          <w:rFonts w:ascii="Calibri" w:cs="Calibri" w:eastAsia="Calibri" w:hAnsi="Calibri"/>
          <w:b/>
          <w:bCs/>
          <w:sz w:val="20"/>
          <w:szCs w:val="20"/>
        </w:rPr>
        <w:t xml:space="preserve">Proposed Solution Template:</w:t>
      </w:r>
    </w:p>
    <w:p>
      <w:pPr>
        <w:spacing w:after="160" w:before="0"/>
      </w:pPr>
      <w:r>
        <w:rPr>
          <w:rFonts w:ascii="Calibri" w:cs="Calibri" w:eastAsia="Calibri" w:hAnsi="Calibri"/>
          <w:b w:val="false"/>
          <w:bCs w:val="false"/>
          <w:sz w:val="20"/>
          <w:szCs w:val="20"/>
        </w:rPr>
        <w:t xml:space="preserve">Project team shall fill the following information in the proposed solution template.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100"/>
      </w:tblGrid>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bCs/>
                <w:sz w:val="20"/>
                <w:szCs w:val="20"/>
              </w:rPr>
              <w:t xml:space="preserve">S.No.</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bCs/>
                <w:sz w:val="20"/>
                <w:szCs w:val="20"/>
              </w:rPr>
              <w:t xml:space="preserve">Parameter</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bCs/>
                <w:sz w:val="20"/>
                <w:szCs w:val="20"/>
              </w:rPr>
              <w:t xml:space="preserve">Description</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Problem Statement (Problem to be solved)</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The current IT procurement process lacks efficiency and automation, causing delays and manual effort, particularly for standard laptop orders. The configuration step for standard laptop requests may be overlooked or delayed, causing user inconvenience and inefficient resource utilisation within the IT department.</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Idea / Solution description</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Implement an automated workflow using ServiceNow Flow Designer. A "Standard Laptop Task" flow is triggered from the Service Catalog and, once the request is approved, automatically creates a Catalog Task ("Laptop need to be Configured") and assigns it to the Hardware group. The flow is attached to the Standard Laptop catalog item through the Process Engine.</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Novelty / Uniqueness</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Replaces manual follow-up with a no-code, trigger-based flow that creates and routes configuration tasks automatically, so no laptop configuration step is missed or delayed. The solution is built on the existing ServiceNow platform and needs no custom scripting.</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4.</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Social Impact / Customer Satisfaction</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Users receive their configured laptops faster, with shorter wait times and a smoother request experience. IT staff spend less time on repetitive manual work, reducing errors and improving productivity and satisfaction for both requesters and the Hardware team.</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5.</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Business Model (Revenue Model)</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An internal enterprise efficiency solution: value comes from cost savings through reduced manual effort, fewer delays and better utilisation of IT resources. It can also be offered as a reusable, service-based automation package for other organisations using ServiceNow.</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6.</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Scalability of the Solution</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The flow can be reused and extended to other catalog items (e.g., desktops, mobile devices, software requests), other assignment groups, and additional steps such as notifications and multi-level approvals, and it scales with the ServiceNow platform as request volume grows.</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2026-09-30T15:56:36.400Z</dcterms:created>
  <dcterms:modified xsi:type="dcterms:W3CDTF">2026-09-30T15:56:36.400Z</dcterms:modified>
</cp:coreProperties>
</file>

<file path=docProps/custom.xml><?xml version="1.0" encoding="utf-8"?>
<Properties xmlns="http://schemas.openxmlformats.org/officeDocument/2006/custom-properties" xmlns:vt="http://schemas.openxmlformats.org/officeDocument/2006/docPropsVTypes"/>
</file>