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5005" w:type="pct"/>
        <w:jc w:val="center"/>
        <w:tblBorders>
          <w:top w:val="single" w:color="FFFFFF" w:sz="2" w:space="0"/>
          <w:left w:val="single" w:color="FFFFFF" w:sz="2" w:space="0"/>
          <w:bottom w:val="single" w:color="FFFFFF" w:sz="2" w:space="0"/>
          <w:right w:val="single" w:color="FFFFFF" w:sz="2" w:space="0"/>
          <w:insideH w:val="single" w:color="FFFFFF" w:sz="2" w:space="0"/>
          <w:insideV w:val="single" w:color="FFFFFF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0"/>
        <w:gridCol w:w="2644"/>
        <w:gridCol w:w="1270"/>
        <w:gridCol w:w="1437"/>
        <w:gridCol w:w="1349"/>
        <w:gridCol w:w="88"/>
        <w:gridCol w:w="1437"/>
        <w:gridCol w:w="1437"/>
        <w:gridCol w:w="336"/>
      </w:tblGrid>
      <w:tr>
        <w:trPr>
          <w:gridAfter w:val="1"/>
          <w:wAfter w:w="336" w:type="dxa"/>
          <w:trHeight w:val="340" w:hRule="atLeast"/>
          <w:jc w:val="center"/>
        </w:trPr>
        <w:tc>
          <w:tcPr>
            <w:tcW w:w="7179" w:type="dxa"/>
            <w:gridSpan w:val="5"/>
            <w:tcBorders>
              <w:top w:val="nil"/>
              <w:right w:val="nil"/>
            </w:tcBorders>
            <w:noWrap w:val="0"/>
            <w:vAlign w:val="bottom"/>
          </w:tcPr>
          <w:p>
            <w:pPr>
              <w:spacing w:after="0"/>
              <w:rPr>
                <w:rFonts w:ascii="Arial" w:hAnsi="Arial" w:eastAsia="微软雅黑"/>
                <w:b/>
                <w:color w:val="CC3300"/>
              </w:rPr>
            </w:pPr>
            <w:r>
              <w:rPr>
                <w:rFonts w:hint="eastAsia" w:ascii="Arial" w:hAnsi="Arial" w:eastAsia="微软雅黑"/>
                <w:b/>
                <w:color w:val="CC3300"/>
                <w:sz w:val="24"/>
              </w:rPr>
              <w:t>安全数据单（SDS）</w:t>
            </w:r>
          </w:p>
        </w:tc>
        <w:tc>
          <w:tcPr>
            <w:tcW w:w="2962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spacing w:after="0"/>
              <w:ind w:right="105" w:rightChars="50"/>
              <w:jc w:val="righ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lang/>
              </w:rPr>
              <w:drawing>
                <wp:anchor distT="0" distB="0" distL="114300" distR="114300" simplePos="0" relativeHeight="251659264" behindDoc="1" locked="0" layoutInCell="1" allowOverlap="1">
                  <wp:simplePos x="0" y="0"/>
                  <wp:positionH relativeFrom="column">
                    <wp:posOffset>327660</wp:posOffset>
                  </wp:positionH>
                  <wp:positionV relativeFrom="paragraph">
                    <wp:posOffset>535940</wp:posOffset>
                  </wp:positionV>
                  <wp:extent cx="1755140" cy="581025"/>
                  <wp:effectExtent l="0" t="0" r="22860" b="3175"/>
                  <wp:wrapNone/>
                  <wp:docPr id="1" name="图片 6" descr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6" descr="logo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514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gridAfter w:val="1"/>
          <w:wAfter w:w="336" w:type="dxa"/>
          <w:jc w:val="center"/>
        </w:trPr>
        <w:tc>
          <w:tcPr>
            <w:tcW w:w="7179" w:type="dxa"/>
            <w:gridSpan w:val="5"/>
            <w:tcBorders>
              <w:right w:val="nil"/>
            </w:tcBorders>
            <w:noWrap w:val="0"/>
            <w:vAlign w:val="top"/>
          </w:tcPr>
          <w:p>
            <w:pPr>
              <w:spacing w:after="0"/>
              <w:rPr>
                <w:rFonts w:hint="default" w:ascii="Arial" w:hAnsi="Arial" w:eastAsia="微软雅黑"/>
                <w:b/>
                <w:lang w:val="en-US" w:eastAsia="zh-CN"/>
              </w:rPr>
            </w:pPr>
            <w:r>
              <w:rPr>
                <w:rFonts w:ascii="Arial" w:hAnsi="Arial" w:eastAsia="微软雅黑"/>
                <w:b/>
                <w:sz w:val="36"/>
              </w:rPr>
              <w:t>{{编号}}</w:t>
            </w:r>
            <w:r>
              <w:rPr>
                <w:rFonts w:hint="eastAsia" w:ascii="Arial" w:hAnsi="Arial" w:eastAsia="微软雅黑"/>
                <w:b/>
                <w:sz w:val="36"/>
                <w:lang w:val="en-US" w:eastAsia="zh-CN"/>
              </w:rPr>
            </w:r>
            <w:r>
              <w:rPr>
                <w:rFonts w:hint="eastAsia" w:ascii="Arial" w:hAnsi="Arial" w:eastAsia="微软雅黑"/>
                <w:b/>
                <w:sz w:val="36"/>
                <w:lang w:val="en-US" w:eastAsia="zh-CN"/>
              </w:rPr>
            </w:r>
          </w:p>
        </w:tc>
        <w:tc>
          <w:tcPr>
            <w:tcW w:w="2962" w:type="dxa"/>
            <w:gridSpan w:val="3"/>
            <w:vMerge w:val="continue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>
            <w:pPr>
              <w:spacing w:after="0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jc w:val="center"/>
        </w:trPr>
        <w:tc>
          <w:tcPr>
            <w:tcW w:w="7179" w:type="dxa"/>
            <w:gridSpan w:val="5"/>
            <w:tcBorders>
              <w:right w:val="nil"/>
            </w:tcBorders>
            <w:noWrap w:val="0"/>
            <w:vAlign w:val="top"/>
          </w:tcPr>
          <w:p>
            <w:pPr>
              <w:spacing w:after="0" w:line="240" w:lineRule="exact"/>
              <w:rPr>
                <w:rFonts w:ascii="Arial" w:hAnsi="Arial" w:eastAsia="微软雅黑"/>
                <w:color w:val="262626"/>
                <w:sz w:val="18"/>
              </w:rPr>
            </w:pPr>
            <w:r>
              <w:rPr>
                <w:rFonts w:hint="eastAsia" w:ascii="Arial" w:hAnsi="Arial" w:eastAsia="微软雅黑"/>
                <w:color w:val="262626"/>
                <w:sz w:val="18"/>
              </w:rPr>
              <w:t>版本号：{{版本号}}</w:t>
            </w:r>
            <w:r>
              <w:rPr>
                <w:rFonts w:hint="eastAsia" w:ascii="Arial" w:hAnsi="Arial" w:eastAsia="微软雅黑"/>
                <w:color w:val="262626"/>
                <w:sz w:val="18"/>
                <w:lang w:val="en-US" w:eastAsia="zh-CN"/>
              </w:rPr>
            </w:r>
            <w:r>
              <w:rPr>
                <w:rFonts w:hint="eastAsia" w:ascii="Arial" w:hAnsi="Arial" w:eastAsia="微软雅黑"/>
                <w:color w:val="262626"/>
                <w:sz w:val="18"/>
              </w:rPr>
            </w:r>
          </w:p>
        </w:tc>
        <w:tc>
          <w:tcPr>
            <w:tcW w:w="2962" w:type="dxa"/>
            <w:gridSpan w:val="3"/>
            <w:vMerge w:val="continue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>
            <w:pPr>
              <w:spacing w:after="0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jc w:val="center"/>
        </w:trPr>
        <w:tc>
          <w:tcPr>
            <w:tcW w:w="7179" w:type="dxa"/>
            <w:gridSpan w:val="5"/>
            <w:tcBorders>
              <w:right w:val="nil"/>
            </w:tcBorders>
            <w:noWrap w:val="0"/>
            <w:vAlign w:val="top"/>
          </w:tcPr>
          <w:p>
            <w:pPr>
              <w:spacing w:after="0" w:line="240" w:lineRule="exact"/>
              <w:rPr>
                <w:rFonts w:ascii="Arial" w:hAnsi="Arial" w:eastAsia="微软雅黑"/>
                <w:color w:val="262626"/>
                <w:sz w:val="18"/>
              </w:rPr>
            </w:pPr>
            <w:r>
              <w:rPr>
                <w:rFonts w:ascii="Arial" w:hAnsi="Arial" w:eastAsia="微软雅黑"/>
                <w:color w:val="262626"/>
                <w:sz w:val="18"/>
              </w:rPr>
              <w:t>报告编号：{{报告编号}}</w:t>
            </w:r>
            <w:r>
              <w:rPr>
                <w:rFonts w:hint="eastAsia" w:ascii="Arial" w:hAnsi="Arial" w:eastAsia="微软雅黑"/>
                <w:color w:val="262626"/>
                <w:sz w:val="18"/>
              </w:rPr>
            </w:r>
            <w:r>
              <w:rPr>
                <w:rFonts w:ascii="Arial" w:hAnsi="Arial" w:eastAsia="微软雅黑"/>
                <w:color w:val="262626"/>
                <w:sz w:val="18"/>
              </w:rPr>
            </w:r>
          </w:p>
        </w:tc>
        <w:tc>
          <w:tcPr>
            <w:tcW w:w="2962" w:type="dxa"/>
            <w:gridSpan w:val="3"/>
            <w:vMerge w:val="continue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>
            <w:pPr>
              <w:spacing w:after="0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jc w:val="center"/>
        </w:trPr>
        <w:tc>
          <w:tcPr>
            <w:tcW w:w="7179" w:type="dxa"/>
            <w:gridSpan w:val="5"/>
            <w:tcBorders>
              <w:right w:val="nil"/>
            </w:tcBorders>
            <w:noWrap w:val="0"/>
            <w:vAlign w:val="top"/>
          </w:tcPr>
          <w:p>
            <w:pPr>
              <w:spacing w:after="0" w:line="240" w:lineRule="exact"/>
              <w:rPr>
                <w:rFonts w:hint="eastAsia" w:ascii="Arial" w:hAnsi="Arial" w:eastAsia="微软雅黑"/>
                <w:color w:val="262626"/>
                <w:sz w:val="18"/>
                <w:lang w:val="en-US" w:eastAsia="zh-CN"/>
              </w:rPr>
            </w:pPr>
            <w:r>
              <w:rPr>
                <w:rFonts w:hint="eastAsia" w:ascii="Arial" w:hAnsi="Arial" w:eastAsia="微软雅黑"/>
                <w:color w:val="262626"/>
                <w:sz w:val="18"/>
              </w:rPr>
              <w:t>编制日期：{{编制日期}}</w:t>
            </w:r>
            <w:r>
              <w:rPr>
                <w:rFonts w:hint="eastAsia" w:ascii="Arial" w:hAnsi="Arial" w:eastAsia="微软雅黑"/>
                <w:color w:val="262626"/>
                <w:sz w:val="18"/>
                <w:lang w:val="en-US" w:eastAsia="zh-CN"/>
              </w:rPr>
            </w:r>
            <w:r>
              <w:rPr>
                <w:rFonts w:hint="eastAsia" w:ascii="Arial" w:hAnsi="Arial" w:eastAsia="微软雅黑"/>
                <w:color w:val="262626"/>
                <w:sz w:val="18"/>
              </w:rPr>
            </w:r>
            <w:r>
              <w:rPr>
                <w:rFonts w:hint="eastAsia" w:ascii="Arial" w:hAnsi="Arial" w:eastAsia="微软雅黑"/>
                <w:color w:val="262626"/>
                <w:sz w:val="18"/>
                <w:lang w:val="en-US" w:eastAsia="zh-CN"/>
              </w:rPr>
            </w:r>
            <w:r>
              <w:rPr>
                <w:rFonts w:hint="eastAsia" w:ascii="Arial" w:hAnsi="Arial" w:eastAsia="微软雅黑"/>
                <w:color w:val="262626"/>
                <w:sz w:val="18"/>
              </w:rPr>
            </w:r>
            <w:r>
              <w:rPr>
                <w:rFonts w:hint="eastAsia" w:ascii="Arial" w:hAnsi="Arial" w:eastAsia="微软雅黑"/>
                <w:color w:val="262626"/>
                <w:sz w:val="18"/>
                <w:lang w:val="en-US" w:eastAsia="zh-CN"/>
              </w:rPr>
            </w:r>
          </w:p>
        </w:tc>
        <w:tc>
          <w:tcPr>
            <w:tcW w:w="2962" w:type="dxa"/>
            <w:gridSpan w:val="3"/>
            <w:vMerge w:val="continue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>
            <w:pPr>
              <w:spacing w:after="0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jc w:val="center"/>
        </w:trPr>
        <w:tc>
          <w:tcPr>
            <w:tcW w:w="7179" w:type="dxa"/>
            <w:gridSpan w:val="5"/>
            <w:noWrap w:val="0"/>
            <w:vAlign w:val="top"/>
          </w:tcPr>
          <w:p>
            <w:pPr>
              <w:spacing w:after="0" w:line="240" w:lineRule="exact"/>
              <w:rPr>
                <w:rFonts w:hint="eastAsia" w:ascii="Arial" w:hAnsi="Arial" w:eastAsia="微软雅黑"/>
                <w:color w:val="262626"/>
                <w:sz w:val="18"/>
                <w:lang w:val="en-US" w:eastAsia="zh-CN"/>
              </w:rPr>
            </w:pPr>
            <w:r>
              <w:rPr>
                <w:rFonts w:hint="eastAsia" w:ascii="Arial" w:hAnsi="Arial" w:eastAsia="微软雅黑"/>
                <w:color w:val="262626"/>
                <w:sz w:val="18"/>
              </w:rPr>
              <w:t>修订日期：{{修订日期}}</w:t>
            </w:r>
            <w:r>
              <w:rPr>
                <w:rFonts w:hint="eastAsia" w:ascii="Arial" w:hAnsi="Arial" w:eastAsia="微软雅黑"/>
                <w:color w:val="262626"/>
                <w:sz w:val="18"/>
                <w:lang w:val="en-US" w:eastAsia="zh-CN"/>
              </w:rPr>
            </w:r>
            <w:r>
              <w:rPr>
                <w:rFonts w:hint="eastAsia" w:ascii="Arial" w:hAnsi="Arial" w:eastAsia="微软雅黑"/>
                <w:color w:val="262626"/>
                <w:sz w:val="18"/>
              </w:rPr>
            </w:r>
            <w:r>
              <w:rPr>
                <w:rFonts w:hint="eastAsia" w:ascii="Arial" w:hAnsi="Arial" w:eastAsia="微软雅黑"/>
                <w:color w:val="262626"/>
                <w:sz w:val="18"/>
                <w:lang w:val="en-US" w:eastAsia="zh-CN"/>
              </w:rPr>
            </w:r>
            <w:r>
              <w:rPr>
                <w:rFonts w:hint="eastAsia" w:ascii="Arial" w:hAnsi="Arial" w:eastAsia="微软雅黑"/>
                <w:color w:val="262626"/>
                <w:sz w:val="18"/>
              </w:rPr>
            </w:r>
            <w:r>
              <w:rPr>
                <w:rFonts w:hint="eastAsia" w:ascii="Arial" w:hAnsi="Arial" w:eastAsia="微软雅黑"/>
                <w:color w:val="262626"/>
                <w:sz w:val="18"/>
                <w:lang w:val="en-US" w:eastAsia="zh-CN"/>
              </w:rPr>
            </w:r>
          </w:p>
        </w:tc>
        <w:tc>
          <w:tcPr>
            <w:tcW w:w="2962" w:type="dxa"/>
            <w:gridSpan w:val="3"/>
            <w:vMerge w:val="continue"/>
            <w:tcBorders>
              <w:top w:val="nil"/>
            </w:tcBorders>
            <w:noWrap w:val="0"/>
            <w:vAlign w:val="top"/>
          </w:tcPr>
          <w:p>
            <w:pPr>
              <w:spacing w:after="0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7179" w:type="dxa"/>
            <w:gridSpan w:val="5"/>
            <w:tcBorders>
              <w:bottom w:val="single" w:color="7F7F7F" w:sz="24" w:space="0"/>
            </w:tcBorders>
            <w:noWrap w:val="0"/>
            <w:vAlign w:val="top"/>
          </w:tcPr>
          <w:p>
            <w:pPr>
              <w:spacing w:after="0" w:line="360" w:lineRule="auto"/>
              <w:rPr>
                <w:rFonts w:ascii="Arial" w:hAnsi="Arial" w:eastAsia="微软雅黑"/>
                <w:b/>
                <w:color w:val="CC3300"/>
              </w:rPr>
            </w:pPr>
            <w:r>
              <w:rPr>
                <w:rFonts w:hint="eastAsia" w:ascii="Arial" w:hAnsi="Arial" w:eastAsia="微软雅黑"/>
                <w:b/>
                <w:color w:val="CC3300"/>
                <w:sz w:val="18"/>
              </w:rPr>
              <w:t>*依照欧盟REACH法规(EU regulation No. 2020/878)编制</w:t>
            </w:r>
          </w:p>
        </w:tc>
        <w:tc>
          <w:tcPr>
            <w:tcW w:w="2962" w:type="dxa"/>
            <w:gridSpan w:val="3"/>
            <w:vMerge w:val="continue"/>
            <w:tcBorders>
              <w:bottom w:val="single" w:color="7F7F7F" w:sz="24" w:space="0"/>
            </w:tcBorders>
            <w:noWrap w:val="0"/>
            <w:vAlign w:val="top"/>
          </w:tcPr>
          <w:p>
            <w:pPr>
              <w:spacing w:after="0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7F7F7F" w:sz="24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3810</wp:posOffset>
                      </wp:positionV>
                      <wp:extent cx="252095" cy="252095"/>
                      <wp:effectExtent l="0" t="0" r="1905" b="1905"/>
                      <wp:wrapNone/>
                      <wp:docPr id="3" name="自选图形 2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b/>
                                      <w:color w:val="FFFFFF"/>
                                      <w:sz w:val="28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77" o:spid="_x0000_s1026" o:spt="2" style="position:absolute;left:0pt;margin-left:0.65pt;margin-top:0.3pt;height:19.85pt;width:19.85pt;z-index:251662336;v-text-anchor:middle;mso-width-relative:page;mso-height-relative:page;" fillcolor="#CC3300" filled="t" stroked="f" coordsize="21600,21600" arcsize="0.166666666666667" o:gfxdata="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WAAAAZHJzL1BLAQIUABQAAAAIAIdO4kDbjPXV0QAA&#10;AAQBAAAPAAAAAAAAAAEAIAAAADgAAABkcnMvZG93bnJldi54bWxQSwECFAAUAAAACACHTuJAoKQV&#10;Cw8CAAD9AwAADgAAAAAAAAABACAAAAA2AQAAZHJzL2Uyb0RvYy54bWxQSwUGAAAAAAYABgBZAQAA&#10;twUAAAAA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FFFFFF"/>
                                <w:sz w:val="28"/>
                              </w:rPr>
                              <w:t>1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物质或混合物和供应商的标识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595959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1.1产品标识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7F7F7F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产品中文名称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7F7F7F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物质或混合物和供应商的标识.产品中文名称}}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7F7F7F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产品英文名称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7F7F7F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物质或混合物和供应商的标识.产品英文名称}}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7F7F7F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产品编号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7F7F7F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物质或混合物和供应商的标识.产品编号}}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7F7F7F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CAS No.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7F7F7F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{{第1部分 物质或混合物和供应商的标识.CAS No.}}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7F7F7F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EC No.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7F7F7F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{{第1部分 物质或混合物和供应商的标识.EC No.}}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7F7F7F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分子式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7F7F7F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{{第1部分 物质或混合物和供应商的标识.分子式}}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7F7F7F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REACH注册号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7F7F7F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{{第1部分 物质或混合物和供应商的标识.REACH注册号}}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7F7F7F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UFI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7F7F7F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{{第1部分 物质或混合物和供应商的标识.UFI}}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 xml:space="preserve">|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1.2产品的推荐用途和限制用途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产品的推荐用途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物质或混合物和供应商的标识.产品的推荐用途}}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产品的限制用途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物质或混合物和供应商的标识.产品的限制用途}}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1.3安全数据单提供者信息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企业名称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物质或混合物和供应商的标识.企业名称}}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企业地址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物质或混合物和供应商的标识.企业地址}}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邮编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物质或混合物和供应商的标识.邮编}}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联系电话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物质或混合物和供应商的标识.联系电话}}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电子邮箱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物质或混合物和供应商的标识.电子邮箱}}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1.4应急电话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应急电话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{{第1部分 物质或混合物和供应商的标识.应急电话}}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响应时间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{{第1部分 物质或混合物和供应商的标识.响应时间}}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 w:cs="Arial"/>
              </w:rPr>
            </w:pPr>
            <w:r>
              <w:rPr>
                <w:rFonts w:ascii="Arial" w:hAnsi="Arial" w:eastAsia="微软雅黑" w:cs="Aria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3810</wp:posOffset>
                      </wp:positionV>
                      <wp:extent cx="252095" cy="252095"/>
                      <wp:effectExtent l="0" t="0" r="1905" b="1905"/>
                      <wp:wrapNone/>
                      <wp:docPr id="9" name="自选图形 5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519" o:spid="_x0000_s1026" o:spt="2" style="position:absolute;left:0pt;margin-left:0.65pt;margin-top:0.3pt;height:19.85pt;width:19.85pt;z-index:251668480;v-text-anchor:middle;mso-width-relative:page;mso-height-relative:page;" fillcolor="#CC3300" filled="t" stroked="f" coordsize="21600,21600" arcsize="0.166666666666667" o:gfxdata="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BYAAABkcnMvUEsBAhQAFAAAAAgAh07iQNuM9dXR&#10;AAAABAEAAA8AAAAAAAAAAQAgAAAAOAAAAGRycy9kb3ducmV2LnhtbFBLAQIUABQAAAAIAIdO4kCC&#10;p7DtEQIAAP0DAAAOAAAAAAAAAAEAIAAAADYBAABkcnMvZTJvRG9jLnhtbFBLBQYAAAAABgAGAFkB&#10;AAC5BQAAAAA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2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危险标识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595959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2.1依据欧盟 CLP 法规[（EC）No 1272/2008]的危险性分类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{{#第2部分 危险标识.依据欧盟 CLP 法规[（EC）No 1272/2008]的危险性分类}}{{.危险类别}}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{{.分类}}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2.2标签要素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象形图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t>{{@象形图}}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center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信号词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b/>
                <w:color w:val="FF0000"/>
                <w:sz w:val="20"/>
                <w:highlight w:val="yellow"/>
              </w:rPr>
            </w:pPr>
            <w:r>
              <w:rPr>
                <w:rFonts w:hint="eastAsia" w:ascii="Arial" w:hAnsi="Arial" w:eastAsia="微软雅黑"/>
                <w:b/>
                <w:color w:val="FF0000"/>
                <w:sz w:val="20"/>
                <w:highlight w:val="yellow"/>
              </w:rPr>
              <w:t>{{第2部分 危险标识.标签要素.信号词}}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 xml:space="preserve">|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危险性说明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{{#第2部分 危险标识.标签要素.危险性说明}}{{.编号}}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{{.内容}}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 xml:space="preserve">|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防范说明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bottom w:val="single" w:color="B4B4B4" w:sz="2" w:space="0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/>
                <w:color w:val="262626"/>
                <w:sz w:val="22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 xml:space="preserve"> 预防措施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{{#第2部分 危险标识.标签要素.预防措施}}{{.编号}}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{{.内容}}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bottom w:val="single" w:color="B4B4B4" w:sz="2" w:space="0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/>
                <w:color w:val="262626"/>
                <w:sz w:val="22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 xml:space="preserve"> 事故响应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{{#第2部分 危险标识.标签要素.事故响应}}{{.编号}}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{{.内容}}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bottom w:val="single" w:color="B4B4B4" w:sz="2" w:space="0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/>
                <w:color w:val="262626"/>
                <w:sz w:val="22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 xml:space="preserve"> 安全储存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{{#第2部分 危险标识.标签要素.安全储存}}{{.编号}}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{{.内容}}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bottom w:val="single" w:color="B4B4B4" w:sz="2" w:space="0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/>
                <w:b/>
                <w:color w:val="CC3300"/>
                <w:sz w:val="24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 xml:space="preserve"> 废弃处置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{{#第2部分 危险标识.标签要素.废弃处置}}{{.编号}}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{{.内容}}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  <w:b/>
                <w:color w:val="0D0D0D"/>
                <w:sz w:val="22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 xml:space="preserve">|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2.3补充危险信息</w:t>
            </w:r>
          </w:p>
          <w:tbl>
            <w:tblPr>
              <w:tblStyle w:val="8"/>
              <w:tblW w:w="5004" w:type="pct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0138"/>
            </w:tblGrid>
            <w:tr>
              <w:trPr>
                <w:trHeight w:val="396" w:hRule="atLeast"/>
                <w:jc w:val="center"/>
              </w:trPr>
              <w:tc>
                <w:tcPr>
                  <w:tcW w:w="10144" w:type="dxa"/>
                  <w:tcBorders>
                    <w:bottom w:val="single" w:color="B4B4B4" w:sz="2" w:space="0"/>
                  </w:tcBorders>
                  <w:noWrap w:val="0"/>
                  <w:vAlign w:val="bottom"/>
                </w:tcPr>
                <w:p>
                  <w:pPr>
                    <w:numPr>
                      <w:ilvl w:val="0"/>
                      <w:numId w:val="1"/>
                    </w:numPr>
                    <w:spacing w:after="62" w:afterLines="20" w:line="280" w:lineRule="exact"/>
                    <w:ind w:left="494" w:leftChars="100" w:hanging="284"/>
                    <w:rPr>
                      <w:rFonts w:hint="eastAsia" w:ascii="Arial" w:hAnsi="Arial" w:eastAsia="微软雅黑"/>
                    </w:rPr>
                  </w:pPr>
                  <w:r>
                    <w:rPr>
                      <w:rFonts w:hint="eastAsia" w:ascii="Arial" w:hAnsi="Arial" w:eastAsia="微软雅黑"/>
                      <w:color w:val="262626"/>
                      <w:sz w:val="22"/>
                    </w:rPr>
                    <w:t>PBT和vPv</w:t>
                  </w:r>
                  <w:r>
                    <w:rPr>
                      <w:rFonts w:ascii="Arial" w:hAnsi="Arial" w:eastAsia="微软雅黑"/>
                      <w:color w:val="262626"/>
                      <w:sz w:val="22"/>
                    </w:rPr>
                    <w:t>B</w:t>
                  </w:r>
                  <w:r>
                    <w:rPr>
                      <w:rFonts w:hint="eastAsia" w:ascii="Arial" w:hAnsi="Arial" w:eastAsia="微软雅黑"/>
                      <w:color w:val="262626"/>
                      <w:sz w:val="22"/>
                    </w:rPr>
                    <w:t>的结果评价</w:t>
                  </w:r>
                </w:p>
              </w:tc>
            </w:tr>
          </w:tbl>
          <w:p>
            <w:pPr>
              <w:spacing w:after="0"/>
              <w:rPr>
                <w:vanish/>
              </w:rPr>
            </w:pPr>
            <w:bookmarkStart w:id="0" w:name="_Hlk211008351"/>
          </w:p>
          <w:tbl>
            <w:tblPr>
              <w:tblStyle w:val="8"/>
              <w:tblW w:w="9827" w:type="dxa"/>
              <w:tblInd w:w="132" w:type="dxa"/>
              <w:tblLayout w:type="fixed"/>
              <w:tblCellMar>
                <w:top w:w="19" w:type="dxa"/>
                <w:left w:w="115" w:type="dxa"/>
                <w:bottom w:w="0" w:type="dxa"/>
                <w:right w:w="115" w:type="dxa"/>
              </w:tblCellMar>
            </w:tblPr>
            <w:tblGrid>
              <w:gridCol w:w="2590"/>
              <w:gridCol w:w="7237"/>
            </w:tblGrid>
            <w:tr>
              <w:trPr>
                <w:trHeight w:val="373" w:hRule="atLeast"/>
              </w:trPr>
              <w:tc>
                <w:tcPr>
                  <w:tcW w:w="2590" w:type="dxa"/>
                  <w:tcBorders>
                    <w:top w:val="single" w:color="999999" w:sz="2" w:space="0"/>
                    <w:left w:val="single" w:color="999999" w:sz="2" w:space="0"/>
                    <w:bottom w:val="single" w:color="666666" w:sz="10" w:space="0"/>
                    <w:right w:val="single" w:color="999999" w:sz="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 xml:space="preserve">组分 </w:t>
                  </w:r>
                </w:p>
              </w:tc>
              <w:tc>
                <w:tcPr>
                  <w:tcW w:w="7237" w:type="dxa"/>
                  <w:tcBorders>
                    <w:top w:val="single" w:color="999999" w:sz="2" w:space="0"/>
                    <w:left w:val="single" w:color="999999" w:sz="2" w:space="0"/>
                    <w:bottom w:val="single" w:color="666666" w:sz="10" w:space="0"/>
                    <w:right w:val="single" w:color="999999" w:sz="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 xml:space="preserve">PBT/vPvB 评价结果 [依据(EC) No 1907/2006] </w:t>
                  </w:r>
                </w:p>
              </w:tc>
            </w:tr>
            <w:tr>
              <w:trPr>
                <w:trHeight w:val="379" w:hRule="atLeast"/>
              </w:trPr>
              <w:tc>
                <w:tcPr>
                  <w:tcW w:w="2590" w:type="dxa"/>
                  <w:tcBorders>
                    <w:top w:val="single" w:color="666666" w:sz="10" w:space="0"/>
                    <w:left w:val="single" w:color="999999" w:sz="2" w:space="0"/>
                    <w:bottom w:val="single" w:color="999999" w:sz="2" w:space="0"/>
                    <w:right w:val="single" w:color="999999" w:sz="2" w:space="0"/>
                  </w:tcBorders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hint="eastAsia"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 w:cs="Arial"/>
                      <w:b/>
                      <w:bCs/>
                      <w:sz w:val="20"/>
                    </w:rPr>
                    <w:t>{{#第2部分 危险标识.补充危险信息.PBT和vPvB的结果评价}}{{.组分}}</w:t>
                  </w:r>
                </w:p>
              </w:tc>
              <w:tc>
                <w:tcPr>
                  <w:tcW w:w="7237" w:type="dxa"/>
                  <w:tcBorders>
                    <w:top w:val="single" w:color="666666" w:sz="10" w:space="0"/>
                    <w:left w:val="single" w:color="999999" w:sz="2" w:space="0"/>
                    <w:bottom w:val="single" w:color="999999" w:sz="2" w:space="0"/>
                    <w:right w:val="single" w:color="999999" w:sz="2" w:space="0"/>
                  </w:tcBorders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sz w:val="20"/>
                    </w:rPr>
                    <w:t>{{.评价结果}}</w:t>
                  </w:r>
                </w:p>
              </w:tc>
            </w:tr>
            <w:bookmarkEnd w:id="0"/>
          </w:tbl>
          <w:p>
            <w:pPr>
              <w:spacing w:after="62" w:afterLines="20" w:line="280" w:lineRule="exact"/>
              <w:jc w:val="left"/>
              <w:rPr>
                <w:rFonts w:hint="eastAsia" w:ascii="Arial" w:hAnsi="Arial" w:eastAsia="微软雅黑"/>
              </w:rPr>
            </w:pPr>
          </w:p>
        </w:tc>
      </w:tr>
      <w:tr>
        <w:trPr>
          <w:trHeight w:val="113" w:hRule="atLeast"/>
          <w:jc w:val="center"/>
        </w:trPr>
        <w:tc>
          <w:tcPr>
            <w:tcW w:w="10477" w:type="dxa"/>
            <w:gridSpan w:val="9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noWrap w:val="0"/>
            <w:vAlign w:val="top"/>
          </w:tcPr>
          <w:tbl>
            <w:tblPr>
              <w:tblStyle w:val="8"/>
              <w:tblW w:w="5004" w:type="pct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0470"/>
            </w:tblGrid>
            <w:tr>
              <w:trPr>
                <w:trHeight w:val="396" w:hRule="atLeast"/>
                <w:jc w:val="center"/>
              </w:trPr>
              <w:tc>
                <w:tcPr>
                  <w:tcW w:w="10144" w:type="dxa"/>
                  <w:tcBorders>
                    <w:bottom w:val="single" w:color="B4B4B4" w:sz="2" w:space="0"/>
                  </w:tcBorders>
                  <w:noWrap w:val="0"/>
                  <w:vAlign w:val="bottom"/>
                </w:tcPr>
                <w:p>
                  <w:pPr>
                    <w:numPr>
                      <w:ilvl w:val="0"/>
                      <w:numId w:val="1"/>
                    </w:numPr>
                    <w:spacing w:after="62" w:afterLines="20" w:line="280" w:lineRule="exact"/>
                    <w:ind w:left="494" w:leftChars="100" w:hanging="284"/>
                    <w:rPr>
                      <w:rFonts w:hint="eastAsia" w:ascii="Arial" w:hAnsi="Arial" w:eastAsia="微软雅黑"/>
                    </w:rPr>
                  </w:pPr>
                  <w:r>
                    <w:rPr>
                      <w:rFonts w:hint="eastAsia" w:ascii="Arial" w:hAnsi="Arial" w:eastAsia="微软雅黑"/>
                      <w:color w:val="262626"/>
                      <w:sz w:val="22"/>
                    </w:rPr>
                    <w:t>内分泌干扰物特性评估结果</w:t>
                  </w:r>
                </w:p>
              </w:tc>
            </w:tr>
          </w:tbl>
          <w:p>
            <w:pPr>
              <w:spacing w:after="0"/>
              <w:rPr>
                <w:vanish/>
              </w:rPr>
            </w:pPr>
          </w:p>
          <w:tbl>
            <w:tblPr>
              <w:tblStyle w:val="8"/>
              <w:tblW w:w="9863" w:type="dxa"/>
              <w:tblInd w:w="139" w:type="dxa"/>
              <w:tblLayout w:type="fixed"/>
              <w:tblCellMar>
                <w:top w:w="19" w:type="dxa"/>
                <w:left w:w="115" w:type="dxa"/>
                <w:bottom w:w="0" w:type="dxa"/>
                <w:right w:w="115" w:type="dxa"/>
              </w:tblCellMar>
            </w:tblPr>
            <w:tblGrid>
              <w:gridCol w:w="2600"/>
              <w:gridCol w:w="7263"/>
            </w:tblGrid>
            <w:tr>
              <w:trPr>
                <w:wBefore w:w="0" w:type="dxa"/>
                <w:wAfter w:w="0" w:type="dxa"/>
                <w:trHeight w:val="372" w:hRule="atLeast"/>
              </w:trPr>
              <w:tc>
                <w:tcPr>
                  <w:tcW w:w="2600" w:type="dxa"/>
                  <w:tcBorders>
                    <w:top w:val="single" w:color="999999" w:sz="2" w:space="0"/>
                    <w:left w:val="single" w:color="999999" w:sz="2" w:space="0"/>
                    <w:bottom w:val="single" w:color="666666" w:sz="10" w:space="0"/>
                    <w:right w:val="single" w:color="999999" w:sz="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 xml:space="preserve">组分 </w:t>
                  </w:r>
                </w:p>
              </w:tc>
              <w:tc>
                <w:tcPr>
                  <w:tcW w:w="7263" w:type="dxa"/>
                  <w:tcBorders>
                    <w:top w:val="single" w:color="999999" w:sz="2" w:space="0"/>
                    <w:left w:val="single" w:color="999999" w:sz="2" w:space="0"/>
                    <w:bottom w:val="single" w:color="666666" w:sz="10" w:space="0"/>
                    <w:right w:val="single" w:color="999999" w:sz="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 w:cs="Arial"/>
                      <w:b/>
                      <w:bCs/>
                      <w:sz w:val="20"/>
                    </w:rPr>
                    <w:t>内分泌干扰物特性评估结果[依据(EU)No2017/2100或(EU)No2018/605</w:t>
                  </w: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 xml:space="preserve">] </w:t>
                  </w:r>
                </w:p>
              </w:tc>
            </w:tr>
            <w:tr>
              <w:trPr>
                <w:wBefore w:w="0" w:type="dxa"/>
                <w:wAfter w:w="0" w:type="dxa"/>
                <w:trHeight w:val="367" w:hRule="atLeast"/>
              </w:trPr>
              <w:tc>
                <w:tcPr>
                  <w:tcW w:w="2600" w:type="dxa"/>
                  <w:tcBorders>
                    <w:top w:val="single" w:color="666666" w:sz="10" w:space="0"/>
                    <w:left w:val="single" w:color="999999" w:sz="2" w:space="0"/>
                    <w:bottom w:val="single" w:color="999999" w:sz="2" w:space="0"/>
                    <w:right w:val="single" w:color="999999" w:sz="2" w:space="0"/>
                  </w:tcBorders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hint="eastAsia"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 w:cs="Arial"/>
                      <w:b/>
                      <w:bCs/>
                      <w:sz w:val="20"/>
                    </w:rPr>
                    <w:t>{{#第2部分 危险标识.补充危险信息.内分泌干扰物特性评估结果}}{{.组分}}</w:t>
                  </w:r>
                </w:p>
              </w:tc>
              <w:tc>
                <w:tcPr>
                  <w:tcW w:w="7263" w:type="dxa"/>
                  <w:tcBorders>
                    <w:top w:val="single" w:color="666666" w:sz="10" w:space="0"/>
                    <w:left w:val="single" w:color="999999" w:sz="2" w:space="0"/>
                    <w:bottom w:val="single" w:color="999999" w:sz="2" w:space="0"/>
                    <w:right w:val="single" w:color="999999" w:sz="2" w:space="0"/>
                  </w:tcBorders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sz w:val="20"/>
                    </w:rPr>
                    <w:t>{{.评价结果}}</w:t>
                  </w:r>
                </w:p>
              </w:tc>
            </w:tr>
          </w:tbl>
          <w:p>
            <w:pPr>
              <w:spacing w:after="62" w:afterLines="20" w:line="280" w:lineRule="exact"/>
              <w:ind w:left="494"/>
              <w:rPr>
                <w:rFonts w:hint="eastAsia" w:ascii="Arial" w:hAnsi="Arial" w:eastAsia="微软雅黑" w:cs="Arial"/>
                <w:sz w:val="20"/>
              </w:rPr>
            </w:pPr>
          </w:p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 w:cs="Arial"/>
                <w:sz w:val="20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>其他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A6A6A6" w:sz="4" w:space="0"/>
              <w:left w:val="single" w:color="FFFFFF" w:sz="2" w:space="0"/>
              <w:bottom w:val="single" w:color="808080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 xml:space="preserve"> </w:t>
            </w:r>
          </w:p>
        </w:tc>
        <w:tc>
          <w:tcPr>
            <w:tcW w:w="7018" w:type="dxa"/>
            <w:gridSpan w:val="6"/>
            <w:tcBorders>
              <w:top w:val="single" w:color="A6A6A6" w:sz="4" w:space="0"/>
              <w:left w:val="single" w:color="808080" w:sz="12" w:space="0"/>
              <w:bottom w:val="single" w:color="808080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{{第2部分 危险标识.补充危险信息.其他}}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808080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5715</wp:posOffset>
                      </wp:positionV>
                      <wp:extent cx="252095" cy="252095"/>
                      <wp:effectExtent l="0" t="0" r="1905" b="1905"/>
                      <wp:wrapNone/>
                      <wp:docPr id="4" name="自选图形 2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79" o:spid="_x0000_s1026" o:spt="2" style="position:absolute;left:0pt;margin-left:0.6pt;margin-top:0.45pt;height:19.85pt;width:19.85pt;z-index:251663360;v-text-anchor:middle;mso-width-relative:page;mso-height-relative:page;" fillcolor="#CC3300" filled="t" stroked="f" coordsize="21600,21600" arcsize="0.166666666666667" o:gfxdata="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FgAAAGRycy9QSwECFAAUAAAACACHTuJAqG3fZ9AA&#10;AAAEAQAADwAAAAAAAAABACAAAAA4AAAAZHJzL2Rvd25yZXYueG1sUEsBAhQAFAAAAAgAh07iQGp3&#10;tzQRAgAA/QMAAA4AAAAAAAAAAQAgAAAANQEAAGRycy9lMm9Eb2MueG1sUEsFBgAAAAAGAAYAWQEA&#10;ALgFAAAAAA=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3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成分/组成信息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3.1物质/混合物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</w:p>
        </w:tc>
        <w:tc>
          <w:tcPr>
            <w:tcW w:w="7018" w:type="dxa"/>
            <w:gridSpan w:val="6"/>
            <w:tcBorders>
              <w:top w:val="nil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{{第3部分 成分/组成信息.物质或混合物}}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noWrap w:val="0"/>
            <w:vAlign w:val="top"/>
          </w:tcPr>
          <w:p>
            <w:pPr>
              <w:spacing w:after="0" w:line="40" w:lineRule="exact"/>
              <w:rPr>
                <w:rFonts w:ascii="Arial" w:hAnsi="Arial" w:eastAsia="微软雅黑"/>
              </w:rPr>
            </w:pPr>
          </w:p>
          <w:tbl>
            <w:tblPr>
              <w:tblStyle w:val="8"/>
              <w:tblW w:w="4970" w:type="pct"/>
              <w:tblInd w:w="0" w:type="dxa"/>
              <w:tblBorders>
                <w:top w:val="single" w:color="999999" w:sz="4" w:space="0"/>
                <w:left w:val="single" w:color="999999" w:sz="4" w:space="0"/>
                <w:bottom w:val="single" w:color="999999" w:sz="4" w:space="0"/>
                <w:right w:val="single" w:color="999999" w:sz="4" w:space="0"/>
                <w:insideH w:val="single" w:color="999999" w:sz="4" w:space="0"/>
                <w:insideV w:val="single" w:color="999999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526"/>
              <w:gridCol w:w="1182"/>
              <w:gridCol w:w="4229"/>
              <w:gridCol w:w="2123"/>
            </w:tblGrid>
            <w:tr>
              <w:trPr>
                <w:wBefore w:w="0" w:type="dxa"/>
                <w:trHeight w:val="397" w:hRule="atLeast"/>
              </w:trPr>
              <w:tc>
                <w:tcPr>
                  <w:tcW w:w="2527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>组分</w:t>
                  </w:r>
                </w:p>
              </w:tc>
              <w:tc>
                <w:tcPr>
                  <w:tcW w:w="118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 w:cs="Arial"/>
                      <w:b/>
                      <w:bCs/>
                      <w:sz w:val="20"/>
                    </w:rPr>
                    <w:t>含量/范围（wt，%）</w:t>
                  </w:r>
                </w:p>
              </w:tc>
              <w:tc>
                <w:tcPr>
                  <w:tcW w:w="4230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 w:cs="Arial"/>
                      <w:b/>
                      <w:bCs/>
                      <w:sz w:val="20"/>
                    </w:rPr>
                    <w:t>依据欧盟CLP法规的分类</w:t>
                  </w:r>
                </w:p>
              </w:tc>
              <w:tc>
                <w:tcPr>
                  <w:tcW w:w="2124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 w:cs="Arial"/>
                      <w:b/>
                      <w:bCs/>
                      <w:sz w:val="20"/>
                    </w:rPr>
                    <w:t>特定浓度限值（SCL）和M因子</w:t>
                  </w:r>
                </w:p>
              </w:tc>
            </w:tr>
            <w:tr>
              <w:trPr>
                <w:wBefore w:w="0" w:type="dxa"/>
                <w:trHeight w:val="386" w:hRule="atLeast"/>
              </w:trPr>
              <w:tc>
                <w:tcPr>
                  <w:tcW w:w="2527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>{{#第3部分 成分/组成信息.组分}}{{.成分名称}}</w:t>
                    <w:br/>
                    <w:t>CAS：{{.CAS No.}}</w:t>
                    <w:br/>
                    <w:t>EC：{{.EC No.}}</w:t>
                    <w:br/>
                    <w:t>Index No.：{{.Index No.}}</w:t>
                  </w:r>
                </w:p>
              </w:tc>
              <w:tc>
                <w:tcPr>
                  <w:tcW w:w="118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</w:pPr>
                  <w:r>
                    <w:rPr>
                      <w:rFonts w:ascii="Arial" w:hAnsi="Arial" w:eastAsia="微软雅黑" w:cs="Arial"/>
                      <w:sz w:val="20"/>
                    </w:rPr>
                    <w:t>{{.含量/范围（wt，%）}}</w:t>
                  </w:r>
                  <w:r>
                    <w:rPr>
                      <w:rFonts w:hint="eastAsia" w:ascii="Arial" w:hAnsi="Arial" w:eastAsia="微软雅黑" w:cs="Arial"/>
                      <w:sz w:val="20"/>
                    </w:rPr>
                  </w:r>
                  <w:r>
                    <w:rPr>
                      <w:rFonts w:ascii="Arial" w:hAnsi="Arial" w:eastAsia="微软雅黑" w:cs="Arial"/>
                      <w:sz w:val="20"/>
                    </w:rPr>
                  </w:r>
                </w:p>
              </w:tc>
              <w:tc>
                <w:tcPr>
                  <w:tcW w:w="4230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hint="eastAsia" w:ascii="Arial" w:hAnsi="Arial" w:eastAsia="微软雅黑" w:cs="Arial"/>
                      <w:sz w:val="20"/>
                    </w:rPr>
                  </w:pPr>
                  <w:r>
                    <w:rPr>
                      <w:rFonts w:hint="eastAsia" w:ascii="Arial" w:hAnsi="Arial" w:eastAsia="微软雅黑" w:cs="Arial"/>
                      <w:sz w:val="20"/>
                    </w:rPr>
                    <w:t>{{.依据欧盟CLP法规的分类}}</w:t>
                  </w:r>
                </w:p>
              </w:tc>
              <w:tc>
                <w:tcPr>
                  <w:tcW w:w="2124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sz w:val="20"/>
                    </w:rPr>
                  </w:pPr>
                  <w:r>
                    <w:rPr>
                      <w:rFonts w:hint="eastAsia" w:ascii="Arial" w:hAnsi="Arial" w:eastAsia="微软雅黑" w:cs="Arial"/>
                      <w:sz w:val="20"/>
                    </w:rPr>
                    <w:t>{{.特定浓度限值（SCL）和M因子}}</w:t>
                  </w:r>
                </w:p>
              </w:tc>
            </w:tr>
          </w:tbl>
          <w:p>
            <w:pPr>
              <w:spacing w:after="0" w:line="40" w:lineRule="exact"/>
              <w:rPr>
                <w:rFonts w:hint="eastAsia" w:ascii="Arial" w:hAnsi="Arial" w:eastAsia="微软雅黑"/>
              </w:rPr>
            </w:pPr>
          </w:p>
          <w:p>
            <w:pPr>
              <w:spacing w:after="0" w:line="4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hint="eastAsia"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7620</wp:posOffset>
                      </wp:positionV>
                      <wp:extent cx="252095" cy="252095"/>
                      <wp:effectExtent l="0" t="0" r="1905" b="1905"/>
                      <wp:wrapNone/>
                      <wp:docPr id="5" name="自选图形 2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80" o:spid="_x0000_s1026" o:spt="2" style="position:absolute;left:0pt;margin-left:0.6pt;margin-top:0.6pt;height:19.85pt;width:19.85pt;z-index:251664384;v-text-anchor:middle;mso-width-relative:page;mso-height-relative:page;" fillcolor="#CC3300" filled="t" stroked="f" coordsize="21600,21600" arcsize="0.166666666666667" o:gfxdata="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WAAAAZHJzL1BLAQIUABQAAAAIAIdO4kDe3W+hzgAAAAUB&#10;AAAPAAAAAAAAAAEAIAAAADgAAABkcnMvZG93bnJldi54bWxQSwECFAAUAAAACACHTuJAjYe5ZA8C&#10;AAD9AwAADgAAAAAAAAABACAAAAAzAQAAZHJzL2Uyb0RvYy54bWxQSwUGAAAAAAYABgBZAQAAtAUA&#10;AAAA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4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急救措施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4.1急救措施描述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一般性建议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{{第4部分 急救措施.一般性建议}}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眼睛接触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{{第4部分 急救措施.眼睛接触}}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皮肤接触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{{第4部分 急救措施.皮肤接触}}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食入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{{第4部分 急救措施.食入}}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吸入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{{第4部分 急救措施.吸入}}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急救人员的防护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{{第4部分 急救措施.急救人员的防护}}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 xml:space="preserve">|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4.2最重要的急性和延迟症状/效应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{{#第4部分 急救措施.最重要的急性和延迟症状/效应}}{{@序号}}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4.3紧急医疗处理和特殊处理的说明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{{#第4部分 急救措施.紧急医疗处理和特殊处理的说明}}{{@序号}}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0</wp:posOffset>
                      </wp:positionV>
                      <wp:extent cx="252095" cy="252095"/>
                      <wp:effectExtent l="0" t="0" r="1905" b="1905"/>
                      <wp:wrapNone/>
                      <wp:docPr id="6" name="自选图形 2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81" o:spid="_x0000_s1026" o:spt="2" style="position:absolute;left:0pt;margin-left:0.6pt;margin-top:0pt;height:19.85pt;width:19.85pt;z-index:251665408;v-text-anchor:middle;mso-width-relative:page;mso-height-relative:page;" fillcolor="#CC3300" filled="t" stroked="f" coordsize="21600,21600" arcsize="0.166666666666667" o:gfxdata="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BYAAABkcnMvUEsBAhQAFAAAAAgAh07iQJEwvSTS&#10;AAAABAEAAA8AAAAAAAAAAQAgAAAAOAAAAGRycy9kb3ducmV2LnhtbFBLAQIUABQAAAAIAIdO4kCV&#10;zxUAEAIAAP0DAAAOAAAAAAAAAAEAIAAAADcBAABkcnMvZTJvRG9jLnhtbFBLBQYAAAAABgAGAFkB&#10;AAC5BQAAAAA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5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消防措施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595959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5.1灭火介质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适当的灭火介质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{{第5部分 消防措施.适当的灭火介质}}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不适当的灭火介质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{{第5部分 消防措施.不适当的灭火介质}}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5.2源于此物质或混合物的特别危害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{{#第5部分 消防措施.源于此物质或混合物的特别危害}}{{@序号}}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5.3对消防人员的建议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{{#第5部分 消防措施.对消防人员的建议}}{{@序号}}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3810</wp:posOffset>
                      </wp:positionV>
                      <wp:extent cx="252095" cy="252095"/>
                      <wp:effectExtent l="0" t="0" r="1905" b="1905"/>
                      <wp:wrapNone/>
                      <wp:docPr id="7" name="自选图形 2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82" o:spid="_x0000_s1026" o:spt="2" style="position:absolute;left:0pt;margin-left:0.6pt;margin-top:0.3pt;height:19.85pt;width:19.85pt;z-index:251666432;v-text-anchor:middle;mso-width-relative:page;mso-height-relative:page;" fillcolor="#CC3300" filled="t" stroked="f" coordsize="21600,21600" arcsize="0.166666666666667" o:gfxdata="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BYAAABkcnMvUEsBAhQAFAAAAAgAh07iQKwsWZDR&#10;AAAABAEAAA8AAAAAAAAAAQAgAAAAOAAAAGRycy9kb3ducmV2LnhtbFBLAQIUABQAAAAIAIdO4kBY&#10;c1PUEQIAAP0DAAAOAAAAAAAAAAEAIAAAADYBAABkcnMvZTJvRG9jLnhtbFBLBQYAAAAABgAGAFkB&#10;AAC5BQAAAAA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6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泄漏应急处理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6.1作业人员防护措施，防护设备和紧急处理程序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{{#第6部分 泄漏应急处理.作业人员防护措施，防护设备和紧急处理程序}}{{@序号}}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 xml:space="preserve">|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6.2环境保护措施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{{#第6部分 泄漏应急处理.环境保护措施}}{{@序号}}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6.3抑制和清洁的方法和材料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{{#第6部分 泄漏应急处理.抑制和清洁的方法和材料}}{{@序号}}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3810</wp:posOffset>
                      </wp:positionV>
                      <wp:extent cx="252095" cy="252095"/>
                      <wp:effectExtent l="0" t="0" r="1905" b="1905"/>
                      <wp:wrapNone/>
                      <wp:docPr id="8" name="自选图形 2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83" o:spid="_x0000_s1026" o:spt="2" style="position:absolute;left:0pt;margin-left:0.6pt;margin-top:0.3pt;height:19.85pt;width:19.85pt;z-index:251667456;v-text-anchor:middle;mso-width-relative:page;mso-height-relative:page;" fillcolor="#CC3300" filled="t" stroked="f" coordsize="21600,21600" arcsize="0.166666666666667" o:gfxdata="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FgAAAGRycy9QSwECFAAUAAAACACHTuJArCxZkNEA&#10;AAAEAQAADwAAAAAAAAABACAAAAA4AAAAZHJzL2Rvd25yZXYueG1sUEsBAhQAFAAAAAgAh07iQG+W&#10;KToQAgAA/QMAAA4AAAAAAAAAAQAgAAAANgEAAGRycy9lMm9Eb2MueG1sUEsFBgAAAAAGAAYAWQEA&#10;ALgFAAAAAA=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7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操作处置与储存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nil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7.1安全操作的防护措施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nil"/>
              <w:left w:val="nil"/>
              <w:bottom w:val="nil"/>
              <w:right w:val="nil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/>
                <w:color w:val="262626"/>
                <w:sz w:val="22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 xml:space="preserve"> </w:t>
            </w:r>
            <w:r>
              <w:rPr>
                <w:rFonts w:hint="eastAsia" w:ascii="Arial" w:hAnsi="Arial" w:eastAsia="微软雅黑" w:cs="Arial"/>
                <w:color w:val="262626"/>
                <w:sz w:val="22"/>
              </w:rPr>
              <w:t>保护措施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{{#操作处置与储存.7.1 安全操作的防护措施.保护措施}}{{@序号}}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nil"/>
              <w:left w:val="nil"/>
              <w:bottom w:val="nil"/>
              <w:right w:val="nil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/>
                <w:color w:val="262626"/>
                <w:sz w:val="22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 xml:space="preserve"> </w:t>
            </w:r>
            <w:r>
              <w:rPr>
                <w:rFonts w:hint="eastAsia" w:ascii="Arial" w:hAnsi="Arial" w:eastAsia="微软雅黑" w:cs="Arial"/>
                <w:color w:val="262626"/>
                <w:sz w:val="22"/>
              </w:rPr>
              <w:t>防火措施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{{#操作处置与储存.7.1 安全操作的防护措施.防火措施}}{{@序号}}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 w:cs="Arial"/>
                <w:sz w:val="20"/>
              </w:rPr>
            </w:pPr>
            <w:r>
              <w:rPr>
                <w:rFonts w:hint="eastAsia" w:ascii="Arial" w:hAnsi="Arial" w:eastAsia="微软雅黑" w:cs="Arial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nil"/>
              <w:left w:val="nil"/>
              <w:bottom w:val="nil"/>
              <w:right w:val="nil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/>
                <w:color w:val="262626"/>
                <w:sz w:val="22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 xml:space="preserve"> </w:t>
            </w:r>
            <w:r>
              <w:rPr>
                <w:rFonts w:hint="eastAsia" w:ascii="Arial" w:hAnsi="Arial" w:eastAsia="微软雅黑" w:cs="Arial"/>
                <w:color w:val="262626"/>
                <w:sz w:val="22"/>
              </w:rPr>
              <w:t>预防气溶胶和粉尘生成措施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{{#操作处置与储存.7.1 安全操作的防护措施.预防气溶胶和粉尘生成措施}}{{@序号}}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 w:cs="Arial"/>
                <w:sz w:val="20"/>
              </w:rPr>
            </w:pPr>
            <w:r>
              <w:rPr>
                <w:rFonts w:hint="eastAsia" w:ascii="Arial" w:hAnsi="Arial" w:eastAsia="微软雅黑" w:cs="Arial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nil"/>
              <w:left w:val="nil"/>
              <w:bottom w:val="nil"/>
              <w:right w:val="nil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/>
                <w:color w:val="262626"/>
                <w:sz w:val="22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 xml:space="preserve"> </w:t>
            </w:r>
            <w:r>
              <w:rPr>
                <w:rFonts w:hint="eastAsia" w:ascii="Arial" w:hAnsi="Arial" w:eastAsia="微软雅黑" w:cs="Arial"/>
                <w:color w:val="262626"/>
                <w:sz w:val="22"/>
              </w:rPr>
              <w:t>职业卫生建议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{{#操作处置与储存.7.1 安全操作的防护措施.职业卫生建议}}{{@序号}}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 w:cs="Arial"/>
                <w:sz w:val="20"/>
              </w:rPr>
            </w:pPr>
            <w:r>
              <w:rPr>
                <w:rFonts w:hint="eastAsia" w:ascii="Arial" w:hAnsi="Arial" w:eastAsia="微软雅黑" w:cs="Arial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7.2安全储存的条件，包括任何不相容性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{{#操作处置与储存.7.2 安全储存的条件，包括任何不相容性}}{{@序号}}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7.3特定用途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{{#操作处置与储存.7.3 特定用途}}{{@序号}}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0</wp:posOffset>
                      </wp:positionV>
                      <wp:extent cx="252095" cy="252095"/>
                      <wp:effectExtent l="0" t="0" r="1905" b="1905"/>
                      <wp:wrapNone/>
                      <wp:docPr id="2" name="自选图形 2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84" o:spid="_x0000_s1026" o:spt="2" style="position:absolute;left:0pt;margin-left:0.6pt;margin-top:0pt;height:19.85pt;width:19.85pt;z-index:251661312;v-text-anchor:middle;mso-width-relative:page;mso-height-relative:page;" fillcolor="#CC3300" filled="t" stroked="f" coordsize="21600,21600" arcsize="0.166666666666667" o:gfxdata="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CRML0k&#10;0gAAAAQBAAAPAAAAAAAAAAEAIAAAADgAAABkcnMvZG93bnJldi54bWxQSwECFAAUAAAACACHTuJA&#10;nQHMZxECAAD9AwAADgAAAAAAAAABACAAAAA3AQAAZHJzL2Uyb0RvYy54bWxQSwUGAAAAAAYABgBZ&#10;AQAAugUAAAAA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8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接触控制/个体防护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808080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595959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8.1控制参数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vMerge w:val="restart"/>
            <w:tcBorders>
              <w:top w:val="single" w:color="808080" w:sz="2" w:space="0"/>
              <w:left w:val="single" w:color="808080" w:sz="2" w:space="0"/>
              <w:right w:val="single" w:color="808080" w:sz="2" w:space="0"/>
            </w:tcBorders>
            <w:shd w:val="clear" w:color="auto" w:fill="F2F2F2"/>
            <w:noWrap w:val="0"/>
            <w:vAlign w:val="center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 xml:space="preserve">组分 </w:t>
            </w:r>
          </w:p>
        </w:tc>
        <w:tc>
          <w:tcPr>
            <w:tcW w:w="1270" w:type="dxa"/>
            <w:vMerge w:val="restart"/>
            <w:tcBorders>
              <w:top w:val="single" w:color="808080" w:sz="2" w:space="0"/>
              <w:left w:val="single" w:color="808080" w:sz="2" w:space="0"/>
              <w:right w:val="single" w:color="808080" w:sz="2" w:space="0"/>
            </w:tcBorders>
            <w:shd w:val="clear" w:color="auto" w:fill="F2F2F2"/>
            <w:noWrap w:val="0"/>
            <w:vAlign w:val="center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 xml:space="preserve">国家/地区 </w:t>
            </w:r>
          </w:p>
        </w:tc>
        <w:tc>
          <w:tcPr>
            <w:tcW w:w="2874" w:type="dxa"/>
            <w:gridSpan w:val="3"/>
            <w:tcBorders>
              <w:top w:val="single" w:color="808080" w:sz="2" w:space="0"/>
              <w:left w:val="single" w:color="808080" w:sz="2" w:space="0"/>
              <w:bottom w:val="single" w:color="808080" w:sz="12" w:space="0"/>
              <w:right w:val="single" w:color="808080" w:sz="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 xml:space="preserve">职业接触限值（8h） </w:t>
            </w:r>
          </w:p>
        </w:tc>
        <w:tc>
          <w:tcPr>
            <w:tcW w:w="2874" w:type="dxa"/>
            <w:gridSpan w:val="2"/>
            <w:tcBorders>
              <w:top w:val="single" w:color="808080" w:sz="2" w:space="0"/>
              <w:left w:val="single" w:color="808080" w:sz="2" w:space="0"/>
              <w:bottom w:val="single" w:color="808080" w:sz="12" w:space="0"/>
              <w:right w:val="single" w:color="808080" w:sz="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 xml:space="preserve">职业接触限值（短时间） 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vMerge w:val="continue"/>
            <w:tcBorders>
              <w:left w:val="single" w:color="808080" w:sz="2" w:space="0"/>
              <w:bottom w:val="single" w:color="808080" w:sz="2" w:space="0"/>
              <w:right w:val="single" w:color="808080" w:sz="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</w:p>
        </w:tc>
        <w:tc>
          <w:tcPr>
            <w:tcW w:w="1270" w:type="dxa"/>
            <w:vMerge w:val="continue"/>
            <w:tcBorders>
              <w:left w:val="single" w:color="808080" w:sz="2" w:space="0"/>
              <w:bottom w:val="single" w:color="808080" w:sz="2" w:space="0"/>
              <w:right w:val="single" w:color="A6A6A6" w:sz="4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40" w:lineRule="exact"/>
              <w:ind w:left="105" w:leftChars="50"/>
              <w:jc w:val="center"/>
              <w:rPr>
                <w:rFonts w:ascii="Arial" w:hAnsi="Arial" w:eastAsia="微软雅黑" w:cs="Arial"/>
                <w:sz w:val="20"/>
              </w:rPr>
            </w:pPr>
          </w:p>
        </w:tc>
        <w:tc>
          <w:tcPr>
            <w:tcW w:w="1437" w:type="dxa"/>
            <w:tcBorders>
              <w:top w:val="single" w:color="808080" w:sz="12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40" w:lineRule="exact"/>
              <w:ind w:left="105" w:leftChars="50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 xml:space="preserve">ppm </w:t>
            </w:r>
          </w:p>
        </w:tc>
        <w:tc>
          <w:tcPr>
            <w:tcW w:w="1437" w:type="dxa"/>
            <w:gridSpan w:val="2"/>
            <w:tcBorders>
              <w:top w:val="single" w:color="808080" w:sz="12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40" w:lineRule="exact"/>
              <w:ind w:left="105" w:leftChars="50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 xml:space="preserve">mg/m³ </w:t>
            </w:r>
          </w:p>
        </w:tc>
        <w:tc>
          <w:tcPr>
            <w:tcW w:w="1437" w:type="dxa"/>
            <w:tcBorders>
              <w:top w:val="single" w:color="808080" w:sz="12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40" w:lineRule="exact"/>
              <w:ind w:left="105" w:leftChars="50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 xml:space="preserve">ppm </w:t>
            </w:r>
          </w:p>
        </w:tc>
        <w:tc>
          <w:tcPr>
            <w:tcW w:w="1437" w:type="dxa"/>
            <w:tcBorders>
              <w:top w:val="single" w:color="808080" w:sz="12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40" w:lineRule="exact"/>
              <w:ind w:left="105" w:leftChars="50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 xml:space="preserve">mg/m³ 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vMerge w:val="restart"/>
            <w:tcBorders>
              <w:top w:val="single" w:color="808080" w:sz="2" w:space="0"/>
              <w:left w:val="single" w:color="808080" w:sz="2" w:space="0"/>
              <w:right w:val="single" w:color="808080" w:sz="2" w:space="0"/>
            </w:tcBorders>
            <w:noWrap w:val="0"/>
            <w:vAlign w:val="center"/>
          </w:tcPr>
          <w:p>
            <w:pPr>
              <w:spacing w:after="0" w:line="259" w:lineRule="auto"/>
              <w:ind w:right="106"/>
              <w:jc w:val="center"/>
              <w:rPr>
                <w:rFonts w:ascii="微软雅黑" w:hAnsi="微软雅黑" w:eastAsia="微软雅黑"/>
                <w:color w:val="262626"/>
              </w:rPr>
            </w:pPr>
            <w:r>
              <w:rPr>
                <w:rFonts w:hint="eastAsia" w:ascii="微软雅黑" w:hAnsi="微软雅黑" w:eastAsia="微软雅黑"/>
                <w:color w:val="262626"/>
              </w:rPr>
              <w:t>{{#第8部分 接触控制/个体防护.控制参数}}{{.组分}}</w:t>
            </w:r>
          </w:p>
        </w:tc>
        <w:tc>
          <w:tcPr>
            <w:tcW w:w="1270" w:type="dxa"/>
            <w:tcBorders>
              <w:top w:val="single" w:color="808080" w:sz="2" w:space="0"/>
              <w:left w:val="single" w:color="808080" w:sz="2" w:space="0"/>
              <w:bottom w:val="single" w:color="808080" w:sz="2" w:space="0"/>
              <w:right w:val="single" w:color="808080" w:sz="2" w:space="0"/>
            </w:tcBorders>
            <w:noWrap w:val="0"/>
            <w:vAlign w:val="top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>{{.国家/地区}}</w:t>
            </w:r>
          </w:p>
        </w:tc>
        <w:tc>
          <w:tcPr>
            <w:tcW w:w="1437" w:type="dxa"/>
            <w:tcBorders>
              <w:top w:val="single" w:color="A6A6A6" w:sz="4" w:space="0"/>
              <w:left w:val="single" w:color="808080" w:sz="2" w:space="0"/>
              <w:bottom w:val="single" w:color="808080" w:sz="2" w:space="0"/>
              <w:right w:val="single" w:color="808080" w:sz="2" w:space="0"/>
            </w:tcBorders>
            <w:noWrap w:val="0"/>
            <w:vAlign w:val="top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>{{.职业接触限值 (8h, ppm)}}</w:t>
            </w:r>
          </w:p>
        </w:tc>
        <w:tc>
          <w:tcPr>
            <w:tcW w:w="1437" w:type="dxa"/>
            <w:gridSpan w:val="2"/>
            <w:tcBorders>
              <w:top w:val="single" w:color="A6A6A6" w:sz="4" w:space="0"/>
              <w:left w:val="single" w:color="808080" w:sz="2" w:space="0"/>
              <w:bottom w:val="single" w:color="808080" w:sz="2" w:space="0"/>
              <w:right w:val="single" w:color="808080" w:sz="2" w:space="0"/>
            </w:tcBorders>
            <w:noWrap w:val="0"/>
            <w:vAlign w:val="top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>{{.职业接触限值 (8h, mg/m³)}}</w:t>
            </w:r>
            <w:r>
              <w:rPr>
                <w:rFonts w:hint="eastAsia" w:ascii="Arial" w:hAnsi="Arial" w:eastAsia="微软雅黑" w:cs="Arial"/>
                <w:sz w:val="20"/>
              </w:rPr>
            </w:r>
          </w:p>
        </w:tc>
        <w:tc>
          <w:tcPr>
            <w:tcW w:w="1437" w:type="dxa"/>
            <w:tcBorders>
              <w:top w:val="single" w:color="A6A6A6" w:sz="4" w:space="0"/>
              <w:left w:val="single" w:color="808080" w:sz="2" w:space="0"/>
              <w:bottom w:val="single" w:color="808080" w:sz="2" w:space="0"/>
              <w:right w:val="single" w:color="808080" w:sz="2" w:space="0"/>
            </w:tcBorders>
            <w:noWrap w:val="0"/>
            <w:vAlign w:val="top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>{{.职业接触限值 (短时间, ppm)}}</w:t>
            </w:r>
          </w:p>
        </w:tc>
        <w:tc>
          <w:tcPr>
            <w:tcW w:w="1437" w:type="dxa"/>
            <w:tcBorders>
              <w:top w:val="single" w:color="A6A6A6" w:sz="4" w:space="0"/>
              <w:left w:val="single" w:color="808080" w:sz="2" w:space="0"/>
              <w:bottom w:val="single" w:color="808080" w:sz="2" w:space="0"/>
              <w:right w:val="single" w:color="808080" w:sz="2" w:space="0"/>
            </w:tcBorders>
            <w:noWrap w:val="0"/>
            <w:vAlign w:val="top"/>
          </w:tcPr>
          <w:p>
            <w:pPr>
              <w:spacing w:after="0" w:line="240" w:lineRule="exact"/>
              <w:jc w:val="center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>{{.职业接触限值 (短时间, mg/m³)}}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808080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bottom w:val="nil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 w:cs="Arial"/>
                <w:color w:val="262626"/>
                <w:sz w:val="22"/>
              </w:rPr>
            </w:pPr>
            <w:r>
              <w:rPr>
                <w:rFonts w:hint="eastAsia" w:ascii="Arial" w:hAnsi="Arial" w:eastAsia="微软雅黑" w:cs="Arial"/>
                <w:color w:val="262626"/>
                <w:sz w:val="22"/>
              </w:rPr>
              <w:t xml:space="preserve"> </w:t>
            </w:r>
            <w:r>
              <w:rPr>
                <w:rFonts w:ascii="Arial" w:hAnsi="Arial" w:eastAsia="微软雅黑" w:cs="Arial"/>
                <w:color w:val="262626"/>
                <w:sz w:val="22"/>
              </w:rPr>
              <w:t>生物限值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生物限值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{{第8部分 接触控制/个体防护.生物限值}}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bottom w:val="single" w:color="B4B4B4" w:sz="2" w:space="0"/>
            </w:tcBorders>
            <w:noWrap w:val="0"/>
            <w:vAlign w:val="bottom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/>
                <w:color w:val="262626"/>
                <w:sz w:val="22"/>
              </w:rPr>
            </w:pPr>
            <w:r>
              <w:rPr>
                <w:rFonts w:hint="eastAsia" w:ascii="Arial" w:hAnsi="Arial" w:eastAsia="微软雅黑"/>
                <w:color w:val="262626"/>
                <w:sz w:val="22"/>
              </w:rPr>
              <w:t xml:space="preserve"> 监测方法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{{#第8部分 接触控制/个体防护.监测方法}}{{@序号}}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{{.}}</w:t>
            </w:r>
            <w:r>
              <w:rPr>
                <w:rFonts w:hint="eastAsia" w:ascii="Arial" w:hAnsi="Arial" w:eastAsia="微软雅黑"/>
                <w:sz w:val="20"/>
              </w:rPr>
            </w:r>
            <w:r>
              <w:rPr>
                <w:rFonts w:ascii="Arial" w:hAnsi="Arial" w:eastAsia="微软雅黑"/>
                <w:sz w:val="20"/>
              </w:rPr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center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 w:cs="Arial"/>
                <w:color w:val="262626"/>
                <w:sz w:val="22"/>
              </w:rPr>
            </w:pPr>
            <w:r>
              <w:rPr>
                <w:rFonts w:ascii="Arial" w:hAnsi="Arial" w:eastAsia="微软雅黑" w:cs="Arial"/>
                <w:color w:val="262626"/>
                <w:sz w:val="22"/>
              </w:rPr>
              <w:t xml:space="preserve"> 衍生的无效应水平（DNEL）</w:t>
            </w:r>
          </w:p>
        </w:tc>
      </w:tr>
      <w:tr>
        <w:trPr>
          <w:gridAfter w:val="1"/>
          <w:wAfter w:w="336" w:type="dxa"/>
          <w:trHeight w:val="1340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nil"/>
              <w:right w:val="single" w:color="FFFFFF" w:sz="2" w:space="0"/>
            </w:tcBorders>
            <w:noWrap w:val="0"/>
            <w:vAlign w:val="center"/>
          </w:tcPr>
          <w:tbl>
            <w:tblPr>
              <w:tblStyle w:val="8"/>
              <w:tblW w:w="4972" w:type="pct"/>
              <w:tblInd w:w="0" w:type="dxa"/>
              <w:tblBorders>
                <w:top w:val="single" w:color="999999" w:sz="4" w:space="0"/>
                <w:left w:val="single" w:color="999999" w:sz="4" w:space="0"/>
                <w:bottom w:val="single" w:color="999999" w:sz="4" w:space="0"/>
                <w:right w:val="single" w:color="999999" w:sz="4" w:space="0"/>
                <w:insideH w:val="single" w:color="999999" w:sz="4" w:space="0"/>
                <w:insideV w:val="single" w:color="999999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957"/>
              <w:gridCol w:w="1118"/>
              <w:gridCol w:w="1675"/>
              <w:gridCol w:w="1861"/>
              <w:gridCol w:w="1664"/>
              <w:gridCol w:w="1794"/>
            </w:tblGrid>
            <w:tr>
              <w:trPr>
                <w:wBefore w:w="0" w:type="dxa"/>
                <w:trHeight w:val="319" w:hRule="atLeast"/>
              </w:trPr>
              <w:tc>
                <w:tcPr>
                  <w:tcW w:w="1957" w:type="dxa"/>
                  <w:vMerge w:val="restart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>组分</w:t>
                  </w:r>
                </w:p>
              </w:tc>
              <w:tc>
                <w:tcPr>
                  <w:tcW w:w="1118" w:type="dxa"/>
                  <w:vMerge w:val="restart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>暴露途径</w:t>
                  </w:r>
                </w:p>
              </w:tc>
              <w:tc>
                <w:tcPr>
                  <w:tcW w:w="6998" w:type="dxa"/>
                  <w:gridSpan w:val="4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>针对工人的DNEL值</w:t>
                  </w:r>
                </w:p>
              </w:tc>
            </w:tr>
            <w:tr>
              <w:trPr>
                <w:wBefore w:w="0" w:type="dxa"/>
                <w:trHeight w:val="319" w:hRule="atLeast"/>
              </w:trPr>
              <w:tc>
                <w:tcPr>
                  <w:tcW w:w="1957" w:type="dxa"/>
                  <w:vMerge w:val="continue"/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</w:p>
              </w:tc>
              <w:tc>
                <w:tcPr>
                  <w:tcW w:w="1118" w:type="dxa"/>
                  <w:vMerge w:val="continue"/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sz w:val="20"/>
                    </w:rPr>
                  </w:pPr>
                </w:p>
              </w:tc>
              <w:tc>
                <w:tcPr>
                  <w:tcW w:w="1676" w:type="dxa"/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sz w:val="20"/>
                    </w:rPr>
                    <w:t>急性效应(局部)</w:t>
                  </w:r>
                </w:p>
              </w:tc>
              <w:tc>
                <w:tcPr>
                  <w:tcW w:w="1862" w:type="dxa"/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sz w:val="20"/>
                    </w:rPr>
                    <w:t>急性效应(全身)</w:t>
                  </w:r>
                </w:p>
              </w:tc>
              <w:tc>
                <w:tcPr>
                  <w:tcW w:w="1665" w:type="dxa"/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sz w:val="20"/>
                    </w:rPr>
                    <w:t>慢性效应(局部)</w:t>
                  </w:r>
                </w:p>
              </w:tc>
              <w:tc>
                <w:tcPr>
                  <w:tcW w:w="1794" w:type="dxa"/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sz w:val="20"/>
                    </w:rPr>
                    <w:t>慢性效应(全身)</w:t>
                  </w:r>
                </w:p>
              </w:tc>
            </w:tr>
            <w:tr>
              <w:trPr>
                <w:wBefore w:w="0" w:type="dxa"/>
                <w:trHeight w:val="362" w:hRule="atLeast"/>
              </w:trPr>
              <w:tc>
                <w:tcPr>
                  <w:tcW w:w="1957" w:type="dxa"/>
                  <w:vMerge w:val="restart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b/>
                      <w:bCs/>
                      <w:sz w:val="20"/>
                    </w:rPr>
                    <w:t>{{#第8部分 接触控制/个体防护.衍生的无效应水平（DNEL）}}{{.组分}}</w:t>
                  </w:r>
                </w:p>
              </w:tc>
              <w:tc>
                <w:tcPr>
                  <w:tcW w:w="1118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sz w:val="20"/>
                    </w:rPr>
                    <w:t>{{.暴露途径}}</w:t>
                  </w:r>
                </w:p>
              </w:tc>
              <w:tc>
                <w:tcPr>
                  <w:tcW w:w="1676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sz w:val="20"/>
                    </w:rPr>
                    <w:t>{{.急性效应(局部)}}</w:t>
                  </w:r>
                </w:p>
              </w:tc>
              <w:tc>
                <w:tcPr>
                  <w:tcW w:w="186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sz w:val="20"/>
                    </w:rPr>
                    <w:t>{{.急性效应(全身)}}</w:t>
                  </w:r>
                </w:p>
              </w:tc>
              <w:tc>
                <w:tcPr>
                  <w:tcW w:w="1665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sz w:val="20"/>
                    </w:rPr>
                    <w:t>{{.慢性效应(局部)}}</w:t>
                  </w:r>
                </w:p>
              </w:tc>
              <w:tc>
                <w:tcPr>
                  <w:tcW w:w="1794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 w:cs="Arial"/>
                      <w:sz w:val="20"/>
                    </w:rPr>
                  </w:pPr>
                  <w:r>
                    <w:rPr>
                      <w:rFonts w:ascii="Arial" w:hAnsi="Arial" w:eastAsia="微软雅黑" w:cs="Arial"/>
                      <w:sz w:val="20"/>
                    </w:rPr>
                    <w:t>{{.慢性效应(全身)}}</w:t>
                  </w:r>
                </w:p>
              </w:tc>
            </w:tr>
          </w:tbl>
          <w:p>
            <w:pPr>
              <w:spacing w:after="62" w:afterLines="20" w:line="60" w:lineRule="exact"/>
              <w:jc w:val="left"/>
              <w:rPr>
                <w:rFonts w:ascii="Arial" w:hAnsi="Arial" w:eastAsia="微软雅黑" w:cs="Arial"/>
                <w:b/>
                <w:color w:val="CC3300"/>
                <w:sz w:val="24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center"/>
          </w:tcPr>
          <w:p>
            <w:pPr>
              <w:numPr>
                <w:ilvl w:val="0"/>
                <w:numId w:val="1"/>
              </w:numPr>
              <w:spacing w:after="62" w:afterLines="20" w:line="280" w:lineRule="exact"/>
              <w:ind w:left="494" w:leftChars="100" w:hanging="284"/>
              <w:rPr>
                <w:rFonts w:ascii="Arial" w:hAnsi="Arial" w:eastAsia="微软雅黑" w:cs="Arial"/>
                <w:color w:val="262626"/>
                <w:sz w:val="22"/>
              </w:rPr>
            </w:pPr>
            <w:r>
              <w:rPr>
                <w:rFonts w:ascii="Arial" w:hAnsi="Arial" w:eastAsia="微软雅黑" w:cs="Arial"/>
                <w:color w:val="262626"/>
                <w:sz w:val="22"/>
              </w:rPr>
              <w:t xml:space="preserve"> 预测的无效应浓度（PNEC）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 w:cs="Arial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 w:cs="Arial"/>
                <w:b/>
                <w:color w:val="595959"/>
                <w:sz w:val="20"/>
                <w:szCs w:val="18"/>
              </w:rPr>
              <w:t>预测的无效应浓度（PNEC）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 w:cs="Arial"/>
                <w:sz w:val="20"/>
              </w:rPr>
            </w:pPr>
            <w:r>
              <w:rPr>
                <w:rFonts w:ascii="Arial" w:hAnsi="Arial" w:eastAsia="微软雅黑" w:cs="Arial"/>
                <w:sz w:val="20"/>
              </w:rPr>
              <w:t>{{第8部分 接触控制/个体防护.预测的无效应浓度（PNEC）}}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8.2 接触控制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8.2.1工程控制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480" w:type="dxa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jc w:val="center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{{#第8部分 接触控制/个体防护.接触控制.工程控制}}{{@序号}}</w:t>
            </w:r>
          </w:p>
        </w:tc>
        <w:tc>
          <w:tcPr>
            <w:tcW w:w="9661" w:type="dxa"/>
            <w:gridSpan w:val="7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{{.}}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8.2.2个人防护装备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总要求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/>
              <w:ind w:left="105" w:leftChars="50"/>
              <w:jc w:val="left"/>
              <w:rPr>
                <w:rFonts w:ascii="Arial" w:hAnsi="Arial" w:eastAsia="微软雅黑"/>
                <w:lang/>
              </w:rPr>
            </w:pPr>
            <w:r>
              <w:rPr>
                <w:rFonts w:ascii="Arial" w:hAnsi="Arial" w:eastAsia="微软雅黑"/>
                <w:lang/>
              </w:rPr>
              <w:t>{{@个人防护装备总要求}}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眼睛防护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{{第8部分 接触控制/个体防护.接触控制.个人防护装备.眼睛防护}}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手部防护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{{第8部分 接触控制/个体防护.接触控制.个人防护装备.手部防护}}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呼吸系统防护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{{第8部分 接触控制/个体防护.接触控制.个人防护装备.呼吸系统防护}}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皮肤和身体防护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{{第8部分 接触控制/个体防护.接触控制.个人防护装备.皮肤和身体防护}}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hint="eastAsia"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9525</wp:posOffset>
                      </wp:positionH>
                      <wp:positionV relativeFrom="paragraph">
                        <wp:posOffset>108585</wp:posOffset>
                      </wp:positionV>
                      <wp:extent cx="252095" cy="252095"/>
                      <wp:effectExtent l="0" t="0" r="1905" b="1905"/>
                      <wp:wrapNone/>
                      <wp:docPr id="10" name="自选图形 2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9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85" o:spid="_x0000_s1026" o:spt="2" style="position:absolute;left:0pt;margin-left:0.75pt;margin-top:8.55pt;height:19.85pt;width:19.85pt;z-index:251669504;v-text-anchor:middle;mso-width-relative:page;mso-height-relative:page;" fillcolor="#CC3300" filled="t" stroked="f" coordsize="21600,21600" arcsize="0.166666666666667" o:gfxdata="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CUlLGA&#10;0gAAAAYBAAAPAAAAAAAAAAEAIAAAADgAAABkcnMvZG93bnJldi54bWxQSwECFAAUAAAACACHTuJA&#10;OqVE/xECAAD+AwAADgAAAAAAAAABACAAAAA3AQAAZHJzL2Uyb0RvYy54bWxQSwUGAAAAAAYABgBZ&#10;AQAAugUAAAAA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9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before="156" w:beforeLines="50"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物理和化学特性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9.1理化特性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物理状态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物理和化学特性.物理状态}}</w:t>
            </w:r>
            <w:r>
              <w:rPr>
                <w:rFonts w:hint="eastAsia" w:ascii="Arial" w:hAnsi="Arial" w:eastAsia="微软雅黑"/>
                <w:sz w:val="20"/>
              </w:rPr>
            </w:r>
            <w:r>
              <w:rPr>
                <w:rFonts w:ascii="Arial" w:hAnsi="Arial" w:eastAsia="微软雅黑"/>
                <w:sz w:val="20"/>
              </w:rPr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颜色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物理和化学特性.颜色}}</w:t>
            </w:r>
            <w:r>
              <w:rPr>
                <w:rFonts w:hint="eastAsia" w:ascii="Arial" w:hAnsi="Arial" w:eastAsia="微软雅黑"/>
                <w:sz w:val="20"/>
              </w:rPr>
            </w:r>
            <w:r>
              <w:rPr>
                <w:rFonts w:ascii="Arial" w:hAnsi="Arial" w:eastAsia="微软雅黑"/>
                <w:sz w:val="20"/>
              </w:rPr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气味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物理和化学特性.气味}}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气味临界值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物理和化学特性.气味临界值}}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pH 值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物理和化学特性.pH值}}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熔点/凝固点(°C)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物理和化学特性.熔点/凝固点(°C)}}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初沸点和沸程(°C)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物理和化学特性.初沸点和沸程(°C)}}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 xml:space="preserve">闪点(闭杯，°C) 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物理和化学特性.闪点(闭杯，°C)}}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蒸发速率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物理和化学特性.蒸发速率}}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易燃性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物理和化学特性.易燃性}}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爆炸上限/下限[%(v/v)]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物理和化学特性.爆炸上限/下限[%(v/v)]}}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蒸气压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物理和化学特性.蒸气压}}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(相对)蒸气密度(空气=1)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物理和化学特性.(相对)蒸气密度(空气=1)}}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相对密度(水=1)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物理和化学特性.相对密度(水=1)}}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溶解性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物理和化学特性.溶解性}}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辛醇/水分配系数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物理和化学特性.辛醇/水分配系数}}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自燃温度(°C)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物理和化学特性.自燃温度(°C)}}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分解温度(°C)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物理和化学特性.分解温度(°C)}}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运动粘度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物理和化学特性.运动粘度}}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爆炸性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物理和化学特性.爆炸性}}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氧化性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物理和化学特性.氧化性}}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颗粒特征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</w:rPr>
              <w:t>{{第9部分 物理和化学特性.颗粒特征}}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7620</wp:posOffset>
                      </wp:positionV>
                      <wp:extent cx="252095" cy="252095"/>
                      <wp:effectExtent l="0" t="0" r="1905" b="1905"/>
                      <wp:wrapNone/>
                      <wp:docPr id="11" name="自选图形 2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10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86" o:spid="_x0000_s1026" o:spt="2" style="position:absolute;left:0pt;margin-left:0.6pt;margin-top:0.6pt;height:19.85pt;width:19.85pt;z-index:251670528;v-text-anchor:middle;mso-width-relative:page;mso-height-relative:page;" fillcolor="#CC3300" filled="t" stroked="f" coordsize="21600,21600" arcsize="0.166666666666667" o:gfxdata="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BYAAABkcnMvUEsBAhQAFAAAAAgAh07iQN7db6HOAAAA&#10;BQEAAA8AAAAAAAAAAQAgAAAAOAAAAGRycy9kb3ducmV2LnhtbFBLAQIUABQAAAAIAIdO4kD3GQIr&#10;EQIAAP4DAAAOAAAAAAAAAAEAIAAAADMBAABkcnMvZTJvRG9jLnhtbFBLBQYAAAAABgAGAFkBAAC2&#10;BQAAAAA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10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稳定性和反应性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稳定性和反应性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2F2F2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10.1反应性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{{第10部分 稳定性和反应性.反应性}}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2F2F2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10.2化学稳定性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{{第10部分 稳定性和反应性.化学稳定性}}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2F2F2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10.3危险反应的可能性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{{第10部分 稳定性和反应性.危险反应的可能性}}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2F2F2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10.4避免接触的条件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{{第10部分 稳定性和反应性.避免接触的条件}}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2F2F2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10.5禁配物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{{第10部分 稳定性和反应性.禁配物}}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2F2F2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10.6危险的分解产物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{{第10部分 稳定性和反应性.危险的分解产物}}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5715</wp:posOffset>
                      </wp:positionV>
                      <wp:extent cx="252095" cy="252095"/>
                      <wp:effectExtent l="0" t="0" r="1905" b="1905"/>
                      <wp:wrapNone/>
                      <wp:docPr id="12" name="自选图形 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87" o:spid="_x0000_s1026" o:spt="2" style="position:absolute;left:0pt;margin-left:0.6pt;margin-top:0.45pt;height:19.85pt;width:19.85pt;z-index:251671552;v-text-anchor:middle;mso-width-relative:page;mso-height-relative:page;" fillcolor="#CC3300" filled="t" stroked="f" coordsize="21600,21600" arcsize="0.166666666666667" o:gfxdata="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BYAAABkcnMvUEsBAhQAFAAAAAgAh07iQKht32fQAAAA&#10;BAEAAA8AAAAAAAAAAQAgAAAAOAAAAGRycy9kb3ducmV2LnhtbFBLAQIUABQAAAAIAIdO4kDvUa5P&#10;DwIAAP4DAAAOAAAAAAAAAAEAIAAAADUBAABkcnMvZTJvRG9jLnhtbFBLBQYAAAAABgAGAFkBAAC2&#10;BQAAAAA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11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毒理学信息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595959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急性毒性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bottom"/>
          </w:tcPr>
          <w:tbl>
            <w:tblPr>
              <w:tblStyle w:val="8"/>
              <w:tblW w:w="5004" w:type="pct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124"/>
              <w:gridCol w:w="7014"/>
            </w:tblGrid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 w:cs="Arial"/>
                      <w:b/>
                      <w:color w:val="595959"/>
                      <w:sz w:val="20"/>
                      <w:szCs w:val="20"/>
                    </w:rPr>
                  </w:pPr>
                  <w:r>
                    <w:rPr>
                      <w:rFonts w:hint="eastAsia" w:ascii="Arial" w:hAnsi="Arial" w:eastAsia="微软雅黑" w:cs="Arial"/>
                      <w:b/>
                      <w:color w:val="595959"/>
                      <w:sz w:val="20"/>
                      <w:szCs w:val="20"/>
                    </w:rPr>
                    <w:t>急性毒性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 w:cs="Arial"/>
                      <w:sz w:val="20"/>
                      <w:szCs w:val="20"/>
                    </w:rPr>
                  </w:pPr>
                  <w:r>
                    <w:rPr>
                      <w:rFonts w:hint="eastAsia" w:ascii="Arial" w:hAnsi="Arial" w:eastAsia="微软雅黑" w:cs="Arial"/>
                      <w:sz w:val="20"/>
                      <w:szCs w:val="20"/>
                    </w:rPr>
                    <w:t>{{第11部分 毒理学信息.急性毒性}}</w:t>
                  </w:r>
                </w:p>
              </w:tc>
            </w:tr>
          </w:tbl>
          <w:p>
            <w:pPr>
              <w:spacing w:after="62" w:afterLines="20" w:line="60" w:lineRule="exact"/>
              <w:rPr>
                <w:rFonts w:hint="eastAsia" w:ascii="Arial" w:hAnsi="Arial" w:eastAsia="微软雅黑"/>
                <w:b/>
                <w:color w:val="CC3300"/>
                <w:sz w:val="24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60" w:lineRule="exact"/>
              <w:jc w:val="left"/>
              <w:rPr>
                <w:rFonts w:hint="eastAsia" w:ascii="Arial" w:hAnsi="Arial" w:eastAsia="微软雅黑"/>
                <w:sz w:val="20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595959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致癌性</w:t>
            </w:r>
          </w:p>
        </w:tc>
      </w:tr>
      <w:tr>
        <w:trPr>
          <w:gridAfter w:val="1"/>
          <w:wAfter w:w="336" w:type="dxa"/>
          <w:trHeight w:val="1572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bottom"/>
          </w:tcPr>
          <w:p>
            <w:pPr>
              <w:spacing w:after="62" w:afterLines="20" w:line="60" w:lineRule="exact"/>
              <w:jc w:val="left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  <w:tbl>
            <w:tblPr>
              <w:tblStyle w:val="8"/>
              <w:tblW w:w="4944" w:type="pct"/>
              <w:tblInd w:w="0" w:type="dxa"/>
              <w:tblBorders>
                <w:top w:val="single" w:color="999999" w:sz="4" w:space="0"/>
                <w:left w:val="single" w:color="999999" w:sz="4" w:space="0"/>
                <w:bottom w:val="single" w:color="999999" w:sz="4" w:space="0"/>
                <w:right w:val="single" w:color="999999" w:sz="4" w:space="0"/>
                <w:insideH w:val="single" w:color="999999" w:sz="4" w:space="0"/>
                <w:insideV w:val="single" w:color="999999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652"/>
              <w:gridCol w:w="3713"/>
              <w:gridCol w:w="3648"/>
            </w:tblGrid>
            <w:tr>
              <w:trPr>
                <w:wBefore w:w="0" w:type="dxa"/>
                <w:trHeight w:val="409" w:hRule="atLeast"/>
              </w:trPr>
              <w:tc>
                <w:tcPr>
                  <w:tcW w:w="2653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组分</w:t>
                  </w:r>
                </w:p>
              </w:tc>
              <w:tc>
                <w:tcPr>
                  <w:tcW w:w="3714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IARC 致癌物分类清单</w:t>
                  </w:r>
                </w:p>
              </w:tc>
              <w:tc>
                <w:tcPr>
                  <w:tcW w:w="3649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NTP致癌物报告</w:t>
                  </w:r>
                </w:p>
              </w:tc>
            </w:tr>
            <w:tr>
              <w:trPr>
                <w:wBefore w:w="0" w:type="dxa"/>
                <w:trHeight w:val="397" w:hRule="atLeast"/>
              </w:trPr>
              <w:tc>
                <w:tcPr>
                  <w:tcW w:w="2653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{{#第11部分 毒理学信息.致癌性}}{{.组分}}</w:t>
                  </w:r>
                </w:p>
              </w:tc>
              <w:tc>
                <w:tcPr>
                  <w:tcW w:w="3714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{{.IARC 致癌物分类清单}}</w:t>
                  </w:r>
                </w:p>
              </w:tc>
              <w:tc>
                <w:tcPr>
                  <w:tcW w:w="364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{{.NTP致癌物报告}}</w:t>
                  </w:r>
                </w:p>
              </w:tc>
            </w:tr>
          </w:tbl>
          <w:p>
            <w:pPr>
              <w:spacing w:after="62" w:afterLines="20" w:line="60" w:lineRule="exact"/>
              <w:jc w:val="center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  <w:tbl>
            <w:tblPr>
              <w:tblStyle w:val="8"/>
              <w:tblW w:w="10141" w:type="dxa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667"/>
              <w:gridCol w:w="7401"/>
              <w:gridCol w:w="73"/>
            </w:tblGrid>
            <w:tr>
              <w:trPr>
                <w:trHeight w:val="396" w:hRule="atLeast"/>
                <w:jc w:val="center"/>
              </w:trPr>
              <w:tc>
                <w:tcPr>
                  <w:tcW w:w="10141" w:type="dxa"/>
                  <w:gridSpan w:val="3"/>
                  <w:tcBorders>
                    <w:bottom w:val="single" w:color="FFFFFF" w:sz="2" w:space="0"/>
                  </w:tcBorders>
                  <w:noWrap w:val="0"/>
                  <w:vAlign w:val="bottom"/>
                </w:tcPr>
                <w:p>
                  <w:pPr>
                    <w:spacing w:after="62" w:afterLines="20" w:line="280" w:lineRule="exact"/>
                    <w:jc w:val="left"/>
                    <w:rPr>
                      <w:rFonts w:ascii="Arial" w:hAnsi="Arial" w:eastAsia="微软雅黑"/>
                    </w:rPr>
                  </w:pPr>
                  <w:r>
                    <w:rPr>
                      <w:rFonts w:ascii="Arial" w:hAnsi="Arial" w:eastAsia="微软雅黑"/>
                      <w:b/>
                      <w:color w:val="CC3300"/>
                      <w:sz w:val="24"/>
                    </w:rPr>
                    <w:t>|</w:t>
                  </w:r>
                  <w:r>
                    <w:rPr>
                      <w:rFonts w:ascii="Arial" w:hAnsi="Arial" w:eastAsia="微软雅黑"/>
                      <w:b/>
                      <w:color w:val="0D0D0D"/>
                      <w:sz w:val="22"/>
                    </w:rPr>
                    <w:t xml:space="preserve"> </w:t>
                  </w:r>
                  <w:r>
                    <w:rPr>
                      <w:rFonts w:hint="eastAsia" w:ascii="Arial" w:hAnsi="Arial" w:eastAsia="微软雅黑"/>
                      <w:b/>
                      <w:color w:val="0D0D0D"/>
                      <w:sz w:val="22"/>
                    </w:rPr>
                    <w:t>内分泌干扰物特性</w:t>
                  </w:r>
                </w:p>
              </w:tc>
            </w:tr>
            <w:tr>
              <w:tblPrEx>
                <w:tblBorders>
                  <w:top w:val="single" w:color="999999" w:sz="4" w:space="0"/>
                  <w:left w:val="single" w:color="999999" w:sz="4" w:space="0"/>
                  <w:bottom w:val="single" w:color="999999" w:sz="4" w:space="0"/>
                  <w:right w:val="single" w:color="999999" w:sz="4" w:space="0"/>
                  <w:insideH w:val="single" w:color="999999" w:sz="4" w:space="0"/>
                  <w:insideV w:val="single" w:color="999999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gridAfter w:val="1"/>
                <w:wAfter w:w="73" w:type="dxa"/>
                <w:trHeight w:val="397" w:hRule="atLeast"/>
                <w:jc w:val="center"/>
              </w:trPr>
              <w:tc>
                <w:tcPr>
                  <w:tcW w:w="2667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组分</w:t>
                  </w:r>
                </w:p>
              </w:tc>
              <w:tc>
                <w:tcPr>
                  <w:tcW w:w="7401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内分泌干扰物特性</w:t>
                  </w:r>
                </w:p>
              </w:tc>
            </w:tr>
            <w:tr>
              <w:tblPrEx>
                <w:tblBorders>
                  <w:top w:val="single" w:color="999999" w:sz="4" w:space="0"/>
                  <w:left w:val="single" w:color="999999" w:sz="4" w:space="0"/>
                  <w:bottom w:val="single" w:color="999999" w:sz="4" w:space="0"/>
                  <w:right w:val="single" w:color="999999" w:sz="4" w:space="0"/>
                  <w:insideH w:val="single" w:color="999999" w:sz="4" w:space="0"/>
                  <w:insideV w:val="single" w:color="999999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gridAfter w:val="1"/>
                <w:wAfter w:w="73" w:type="dxa"/>
                <w:trHeight w:val="386" w:hRule="atLeast"/>
                <w:jc w:val="center"/>
              </w:trPr>
              <w:tc>
                <w:tcPr>
                  <w:tcW w:w="2667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{{#第11部分 毒理学信息.内分泌干扰物特性}}{{.组分}}</w:t>
                  </w:r>
                </w:p>
              </w:tc>
              <w:tc>
                <w:tcPr>
                  <w:tcW w:w="7401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{{.内分泌干扰物特性}}</w:t>
                  </w:r>
                </w:p>
              </w:tc>
            </w:tr>
          </w:tbl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  <w:b/>
                <w:color w:val="0D0D0D"/>
                <w:sz w:val="22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其他信息</w:t>
            </w:r>
          </w:p>
          <w:tbl>
            <w:tblPr>
              <w:tblStyle w:val="8"/>
              <w:tblW w:w="5004" w:type="pct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124"/>
              <w:gridCol w:w="7014"/>
            </w:tblGrid>
            <w:tr>
              <w:trPr>
                <w:trHeight w:val="340" w:hRule="atLeast"/>
                <w:jc w:val="center"/>
              </w:trPr>
              <w:tc>
                <w:tcPr>
                  <w:tcW w:w="10144" w:type="dxa"/>
                  <w:gridSpan w:val="2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FFFFFF" w:sz="2" w:space="0"/>
                  </w:tcBorders>
                  <w:shd w:val="clear" w:color="auto" w:fill="F2F2F2"/>
                  <w:noWrap w:val="0"/>
                  <w:vAlign w:val="center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sz w:val="20"/>
                    </w:rPr>
                    <w:t xml:space="preserve">MEP </w:t>
                  </w:r>
                  <w:r>
                    <w:rPr>
                      <w:rFonts w:hint="eastAsia" w:ascii="Arial" w:hAnsi="Arial" w:eastAsia="微软雅黑"/>
                      <w:b/>
                      <w:sz w:val="20"/>
                    </w:rPr>
                    <w:t>33</w:t>
                  </w:r>
                  <w:r>
                    <w:rPr>
                      <w:rFonts w:ascii="Arial" w:hAnsi="Arial" w:eastAsia="微软雅黑"/>
                      <w:b/>
                      <w:sz w:val="20"/>
                    </w:rPr>
                    <w:t>40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/>
                      <w:b/>
                      <w:color w:val="595959"/>
                      <w:sz w:val="20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color w:val="595959"/>
                      <w:sz w:val="20"/>
                      <w:szCs w:val="18"/>
                    </w:rPr>
                    <w:t>皮肤腐蚀/刺激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{{第11部分 毒理学信息.其他信息.皮肤腐蚀/刺激}}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/>
                      <w:b/>
                      <w:color w:val="595959"/>
                      <w:sz w:val="20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color w:val="595959"/>
                      <w:sz w:val="20"/>
                      <w:szCs w:val="18"/>
                    </w:rPr>
                    <w:t>严重眼损伤/刺激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{{第11部分 毒理学信息.其他信息.严重眼损伤/刺激}}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/>
                      <w:b/>
                      <w:color w:val="595959"/>
                      <w:sz w:val="20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color w:val="595959"/>
                      <w:sz w:val="20"/>
                      <w:szCs w:val="18"/>
                    </w:rPr>
                    <w:t>皮肤致敏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{{第11部分 毒理学信息.其他信息.皮肤致敏}}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/>
                      <w:b/>
                      <w:color w:val="595959"/>
                      <w:sz w:val="20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color w:val="595959"/>
                      <w:sz w:val="20"/>
                      <w:szCs w:val="18"/>
                    </w:rPr>
                    <w:t>呼吸致敏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{{第11部分 毒理学信息.其他信息.呼吸致敏}}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/>
                      <w:b/>
                      <w:color w:val="595959"/>
                      <w:sz w:val="20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color w:val="595959"/>
                      <w:sz w:val="20"/>
                      <w:szCs w:val="18"/>
                    </w:rPr>
                    <w:t>生殖毒性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{{第11部分 毒理学信息.其他信息.生殖毒性}}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 w:cs="Arial"/>
                      <w:b/>
                      <w:color w:val="595959"/>
                      <w:sz w:val="20"/>
                      <w:szCs w:val="20"/>
                    </w:rPr>
                  </w:pPr>
                  <w:r>
                    <w:rPr>
                      <w:rFonts w:hint="eastAsia" w:ascii="微软雅黑" w:hAnsi="微软雅黑" w:eastAsia="微软雅黑"/>
                      <w:b/>
                      <w:color w:val="595959"/>
                      <w:sz w:val="20"/>
                      <w:szCs w:val="20"/>
                    </w:rPr>
                    <w:t>特定目标器官毒性</w:t>
                  </w:r>
                  <w:r>
                    <w:rPr>
                      <w:rFonts w:hint="eastAsia" w:ascii="Arial" w:hAnsi="Arial" w:eastAsia="微软雅黑" w:cs="Arial"/>
                      <w:b/>
                      <w:color w:val="595959"/>
                      <w:sz w:val="20"/>
                      <w:szCs w:val="20"/>
                    </w:rPr>
                    <w:t>-</w:t>
                  </w:r>
                  <w:r>
                    <w:rPr>
                      <w:rFonts w:hint="eastAsia" w:ascii="微软雅黑" w:hAnsi="微软雅黑" w:eastAsia="微软雅黑"/>
                      <w:b/>
                      <w:color w:val="595959"/>
                      <w:sz w:val="20"/>
                      <w:szCs w:val="20"/>
                    </w:rPr>
                    <w:t>单次接触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 w:cs="Arial"/>
                      <w:sz w:val="20"/>
                      <w:szCs w:val="20"/>
                    </w:rPr>
                  </w:pPr>
                  <w:r>
                    <w:rPr>
                      <w:rFonts w:hint="eastAsia" w:ascii="微软雅黑" w:hAnsi="微软雅黑" w:eastAsia="微软雅黑"/>
                      <w:sz w:val="20"/>
                      <w:szCs w:val="20"/>
                    </w:rPr>
                    <w:t>{{第11部分 毒理学信息.其他信息.特定目标器官毒性-单次接触}}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 w:cs="Arial"/>
                      <w:b/>
                      <w:color w:val="595959"/>
                      <w:sz w:val="20"/>
                      <w:szCs w:val="20"/>
                    </w:rPr>
                  </w:pPr>
                  <w:r>
                    <w:rPr>
                      <w:rFonts w:hint="eastAsia" w:ascii="微软雅黑" w:hAnsi="微软雅黑" w:eastAsia="微软雅黑"/>
                      <w:b/>
                      <w:color w:val="595959"/>
                      <w:sz w:val="20"/>
                      <w:szCs w:val="20"/>
                    </w:rPr>
                    <w:t>特定目标器官毒性</w:t>
                  </w:r>
                  <w:r>
                    <w:rPr>
                      <w:rFonts w:hint="eastAsia" w:ascii="Arial" w:hAnsi="Arial" w:eastAsia="微软雅黑" w:cs="Arial"/>
                      <w:b/>
                      <w:color w:val="595959"/>
                      <w:sz w:val="20"/>
                      <w:szCs w:val="20"/>
                    </w:rPr>
                    <w:t>-</w:t>
                  </w:r>
                  <w:r>
                    <w:rPr>
                      <w:rFonts w:hint="eastAsia" w:ascii="微软雅黑" w:hAnsi="微软雅黑" w:eastAsia="微软雅黑"/>
                      <w:b/>
                      <w:color w:val="595959"/>
                      <w:sz w:val="20"/>
                      <w:szCs w:val="20"/>
                    </w:rPr>
                    <w:t>反复接触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 w:cs="Arial"/>
                      <w:sz w:val="20"/>
                      <w:szCs w:val="20"/>
                    </w:rPr>
                  </w:pPr>
                  <w:r>
                    <w:rPr>
                      <w:rFonts w:hint="eastAsia" w:ascii="微软雅黑" w:hAnsi="微软雅黑" w:eastAsia="微软雅黑"/>
                      <w:sz w:val="20"/>
                      <w:szCs w:val="20"/>
                    </w:rPr>
                    <w:t>{{第11部分 毒理学信息.其他信息.特定目标器官毒性-反复接触}}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 w:cs="Arial"/>
                      <w:b/>
                      <w:color w:val="595959"/>
                      <w:sz w:val="20"/>
                      <w:szCs w:val="20"/>
                    </w:rPr>
                  </w:pPr>
                  <w:r>
                    <w:rPr>
                      <w:rFonts w:hint="eastAsia" w:ascii="Arial" w:hAnsi="Arial" w:eastAsia="微软雅黑" w:cs="Arial"/>
                      <w:b/>
                      <w:color w:val="595959"/>
                      <w:sz w:val="20"/>
                      <w:szCs w:val="20"/>
                    </w:rPr>
                    <w:t>吸入危害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 w:cs="Arial"/>
                      <w:sz w:val="20"/>
                      <w:szCs w:val="20"/>
                    </w:rPr>
                  </w:pPr>
                  <w:r>
                    <w:rPr>
                      <w:rFonts w:hint="eastAsia" w:ascii="微软雅黑" w:hAnsi="微软雅黑" w:eastAsia="微软雅黑"/>
                      <w:sz w:val="20"/>
                      <w:szCs w:val="20"/>
                    </w:rPr>
                    <w:t>{{第11部分 毒理学信息.其他信息.吸入危害}}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 w:cs="Arial"/>
                      <w:b/>
                      <w:color w:val="595959"/>
                      <w:sz w:val="20"/>
                      <w:szCs w:val="20"/>
                    </w:rPr>
                  </w:pPr>
                  <w:r>
                    <w:rPr>
                      <w:rFonts w:hint="eastAsia" w:ascii="微软雅黑" w:hAnsi="微软雅黑" w:eastAsia="微软雅黑"/>
                      <w:b/>
                      <w:color w:val="595959"/>
                      <w:sz w:val="20"/>
                      <w:szCs w:val="20"/>
                    </w:rPr>
                    <w:t>生殖细胞致突变性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 w:cs="Arial"/>
                      <w:sz w:val="20"/>
                      <w:szCs w:val="20"/>
                    </w:rPr>
                  </w:pPr>
                  <w:r>
                    <w:rPr>
                      <w:rFonts w:hint="eastAsia" w:ascii="微软雅黑" w:hAnsi="微软雅黑" w:eastAsia="微软雅黑"/>
                      <w:sz w:val="20"/>
                      <w:szCs w:val="20"/>
                    </w:rPr>
                    <w:t>{{第11部分 毒理学信息.其他信息.生殖细胞致突变性}}</w:t>
                  </w:r>
                </w:p>
              </w:tc>
            </w:tr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hint="eastAsia" w:ascii="微软雅黑" w:hAnsi="微软雅黑" w:eastAsia="微软雅黑"/>
                      <w:b/>
                      <w:color w:val="595959"/>
                      <w:sz w:val="20"/>
                      <w:szCs w:val="20"/>
                    </w:rPr>
                  </w:pPr>
                  <w:r>
                    <w:rPr>
                      <w:rFonts w:hint="eastAsia" w:ascii="微软雅黑" w:hAnsi="微软雅黑" w:eastAsia="微软雅黑"/>
                      <w:b/>
                      <w:color w:val="595959"/>
                      <w:sz w:val="20"/>
                      <w:szCs w:val="20"/>
                    </w:rPr>
                    <w:t>生殖毒性附加危害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hint="eastAsia" w:ascii="微软雅黑" w:hAnsi="微软雅黑" w:eastAsia="微软雅黑"/>
                      <w:sz w:val="20"/>
                      <w:szCs w:val="20"/>
                    </w:rPr>
                  </w:pPr>
                  <w:r>
                    <w:rPr>
                      <w:rFonts w:hint="eastAsia" w:ascii="微软雅黑" w:hAnsi="微软雅黑" w:eastAsia="微软雅黑"/>
                      <w:sz w:val="20"/>
                      <w:szCs w:val="20"/>
                    </w:rPr>
                    <w:t>{{第11部分 毒理学信息.其他信息.生殖毒性附加危害}}</w:t>
                  </w:r>
                </w:p>
              </w:tc>
            </w:tr>
          </w:tbl>
          <w:p>
            <w:pPr>
              <w:spacing w:after="0" w:line="100" w:lineRule="exact"/>
              <w:rPr>
                <w:rFonts w:hint="eastAsia" w:ascii="Arial" w:hAnsi="Arial" w:eastAsia="微软雅黑"/>
              </w:rPr>
            </w:pPr>
          </w:p>
          <w:tbl>
            <w:tblPr>
              <w:tblStyle w:val="8"/>
              <w:tblW w:w="5004" w:type="pct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481"/>
              <w:gridCol w:w="9657"/>
            </w:tblGrid>
            <w:tr>
              <w:trPr>
                <w:trHeight w:val="284" w:hRule="atLeast"/>
                <w:jc w:val="center"/>
              </w:trPr>
              <w:tc>
                <w:tcPr>
                  <w:tcW w:w="481" w:type="dxa"/>
                  <w:tcBorders>
                    <w:top w:val="single" w:color="FFFFFF" w:sz="2" w:space="0"/>
                    <w:left w:val="single" w:color="FFFFFF" w:sz="2" w:space="0"/>
                    <w:bottom w:val="single" w:color="FFFFFF" w:sz="2" w:space="0"/>
                    <w:right w:val="dashSmallGap" w:color="FFFFFF" w:sz="2" w:space="0"/>
                  </w:tcBorders>
                  <w:noWrap w:val="0"/>
                  <w:vAlign w:val="center"/>
                </w:tcPr>
                <w:p>
                  <w:pPr>
                    <w:spacing w:after="0" w:line="400" w:lineRule="exact"/>
                    <w:rPr>
                      <w:rFonts w:ascii="Arial" w:hAnsi="Arial" w:eastAsia="微软雅黑"/>
                    </w:rPr>
                  </w:pPr>
                  <w:r>
                    <w:rPr>
                      <w:rFonts w:ascii="Arial" w:hAnsi="Arial" w:eastAsia="微软雅黑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6672" behindDoc="0" locked="0" layoutInCell="1" allowOverlap="1">
                            <wp:simplePos x="0" y="0"/>
                            <wp:positionH relativeFrom="column">
                              <wp:posOffset>7620</wp:posOffset>
                            </wp:positionH>
                            <wp:positionV relativeFrom="paragraph">
                              <wp:posOffset>5715</wp:posOffset>
                            </wp:positionV>
                            <wp:extent cx="252095" cy="252095"/>
                            <wp:effectExtent l="0" t="0" r="1905" b="1905"/>
                            <wp:wrapNone/>
                            <wp:docPr id="17" name="自选图形 2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52095" cy="252095"/>
                                    </a:xfrm>
                                    <a:prstGeom prst="roundRect">
                                      <a:avLst>
                                        <a:gd name="adj" fmla="val 16667"/>
                                      </a:avLst>
                                    </a:prstGeom>
                                    <a:solidFill>
                                      <a:srgbClr val="CC3300"/>
                                    </a:solidFill>
                                    <a:ln w="12700"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line="240" w:lineRule="exact"/>
                                          <w:jc w:val="center"/>
                                          <w:rPr>
                                            <w:b/>
                                            <w:color w:val="FFFFFF"/>
                                            <w:sz w:val="28"/>
                                          </w:rPr>
                                        </w:pPr>
                                        <w:r>
                                          <w:rPr>
                                            <w:b/>
                                            <w:color w:val="FFFFFF"/>
                                            <w:sz w:val="28"/>
                                          </w:rPr>
                                          <w:t>1</w:t>
                                        </w:r>
                                        <w:r>
                                          <w:rPr>
                                            <w:rFonts w:hint="eastAsia"/>
                                            <w:b/>
                                            <w:color w:val="FFFFFF"/>
                                            <w:sz w:val="28"/>
                                          </w:rPr>
                                          <w:t>2</w:t>
                                        </w:r>
                                      </w:p>
                                    </w:txbxContent>
                                  </wps:txbx>
                                  <wps:bodyPr wrap="square" lIns="0" tIns="36000" rIns="0" bIns="0" anchor="ctr" anchorCtr="0" upright="1"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oundrect id="自选图形 287" o:spid="_x0000_s1026" o:spt="2" style="position:absolute;left:0pt;margin-left:0.6pt;margin-top:0.45pt;height:19.85pt;width:19.85pt;z-index:251676672;v-text-anchor:middle;mso-width-relative:page;mso-height-relative:page;" fillcolor="#CC3300" filled="t" stroked="f" coordsize="21600,21600" arcsize="0.166666666666667" o:gfxdata="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FgAAAGRycy9QSwECFAAUAAAACACHTuJAqG3fZ9AA&#10;AAAEAQAADwAAAAAAAAABACAAAAA4AAAAZHJzL2Rvd25yZXYueG1sUEsBAhQAFAAAAAgAh07iQKPt&#10;rF4RAgAA/gMAAA4AAAAAAAAAAQAgAAAANQEAAGRycy9lMm9Eb2MueG1sUEsFBgAAAAAGAAYAWQEA&#10;ALgFAAAAAA==&#10;">
                            <v:fill on="t" focussize="0,0"/>
                            <v:stroke on="f" weight="1pt"/>
                            <v:imagedata o:title=""/>
                            <o:lock v:ext="edit" aspectratio="f"/>
                            <v:textbox inset="0mm,1mm,0mm,0mm"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1</w:t>
                                  </w:r>
                                  <w:r>
                                    <w:rPr>
                                      <w:rFonts w:hint="eastAsia"/>
                                      <w:b/>
                                      <w:color w:val="FFFFFF"/>
                                      <w:sz w:val="28"/>
                                    </w:rPr>
                                    <w:t>2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9663" w:type="dxa"/>
                  <w:tcBorders>
                    <w:top w:val="dashSmallGap" w:color="FFFFFF" w:sz="2" w:space="0"/>
                    <w:left w:val="dashSmallGap" w:color="FFFFFF" w:sz="2" w:space="0"/>
                    <w:bottom w:val="dashSmallGap" w:color="808080" w:sz="4" w:space="0"/>
                    <w:right w:val="single" w:color="FFFFFF" w:sz="2" w:space="0"/>
                  </w:tcBorders>
                  <w:noWrap w:val="0"/>
                  <w:vAlign w:val="center"/>
                </w:tcPr>
                <w:p>
                  <w:pPr>
                    <w:spacing w:after="0" w:line="400" w:lineRule="exact"/>
                    <w:jc w:val="left"/>
                    <w:rPr>
                      <w:rFonts w:ascii="Arial" w:hAnsi="Arial" w:eastAsia="微软雅黑"/>
                    </w:rPr>
                  </w:pPr>
                  <w:r>
                    <w:rPr>
                      <w:rFonts w:hint="eastAsia" w:ascii="Arial" w:hAnsi="Arial" w:eastAsia="微软雅黑"/>
                      <w:color w:val="404040"/>
                      <w:sz w:val="28"/>
                    </w:rPr>
                    <w:t>生态学信息</w:t>
                  </w:r>
                </w:p>
              </w:tc>
            </w:tr>
            <w:tr>
              <w:trPr>
                <w:trHeight w:val="113" w:hRule="atLeast"/>
                <w:jc w:val="center"/>
              </w:trPr>
              <w:tc>
                <w:tcPr>
                  <w:tcW w:w="10144" w:type="dxa"/>
                  <w:gridSpan w:val="2"/>
                  <w:tcBorders>
                    <w:top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100" w:lineRule="exact"/>
                    <w:rPr>
                      <w:rFonts w:ascii="Arial" w:hAnsi="Arial" w:eastAsia="微软雅黑"/>
                    </w:rPr>
                  </w:pPr>
                </w:p>
              </w:tc>
            </w:tr>
          </w:tbl>
          <w:p>
            <w:pPr>
              <w:spacing w:after="0" w:line="400" w:lineRule="exact"/>
              <w:jc w:val="left"/>
              <w:rPr>
                <w:rFonts w:hint="eastAsia"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急性水生毒性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bottom"/>
          </w:tcPr>
          <w:p>
            <w:pPr>
              <w:spacing w:after="62" w:afterLines="20" w:line="60" w:lineRule="exact"/>
              <w:jc w:val="left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  <w:tbl>
            <w:tblPr>
              <w:tblStyle w:val="8"/>
              <w:tblW w:w="4970" w:type="pct"/>
              <w:tblInd w:w="0" w:type="dxa"/>
              <w:tblBorders>
                <w:top w:val="single" w:color="999999" w:sz="4" w:space="0"/>
                <w:left w:val="none" w:color="auto" w:sz="0" w:space="0"/>
                <w:bottom w:val="single" w:color="999999" w:sz="4" w:space="0"/>
                <w:right w:val="none" w:color="auto" w:sz="0" w:space="0"/>
                <w:insideH w:val="single" w:color="808080" w:sz="12" w:space="0"/>
                <w:insideV w:val="single" w:color="808080" w:sz="12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123"/>
              <w:gridCol w:w="6952"/>
            </w:tblGrid>
            <w:tr>
              <w:trPr>
                <w:wBefore w:w="0" w:type="dxa"/>
                <w:trHeight w:val="397" w:hRule="atLeast"/>
              </w:trPr>
              <w:tc>
                <w:tcPr>
                  <w:tcW w:w="3124" w:type="dxa"/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jc w:val="right"/>
                    <w:rPr>
                      <w:rFonts w:ascii="Arial" w:hAnsi="Arial" w:eastAsia="微软雅黑"/>
                      <w:b/>
                      <w:color w:val="595959"/>
                      <w:sz w:val="20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color w:val="595959"/>
                      <w:sz w:val="20"/>
                      <w:szCs w:val="18"/>
                    </w:rPr>
                    <w:t>急性水生毒性</w:t>
                  </w:r>
                </w:p>
              </w:tc>
              <w:tc>
                <w:tcPr>
                  <w:tcW w:w="6954" w:type="dxa"/>
                  <w:shd w:val="clear" w:color="auto" w:fill="FFFFFF"/>
                  <w:noWrap w:val="0"/>
                  <w:vAlign w:val="top"/>
                </w:tcPr>
                <w:p>
                  <w:pPr>
                    <w:spacing w:after="0" w:line="280" w:lineRule="exact"/>
                    <w:jc w:val="left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{{第12部分 生态学信息.急性水生毒性}}</w:t>
                  </w:r>
                </w:p>
              </w:tc>
            </w:tr>
          </w:tbl>
          <w:p>
            <w:pPr>
              <w:spacing w:after="62" w:afterLines="20" w:line="60" w:lineRule="exact"/>
              <w:jc w:val="center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nil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慢性水生毒性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慢性水生毒性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{{第12部分 生态学信息.慢性水生毒性}}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持久性和降解性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bottom"/>
          </w:tcPr>
          <w:p>
            <w:pPr>
              <w:spacing w:after="62" w:afterLines="20" w:line="60" w:lineRule="exact"/>
              <w:jc w:val="left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  <w:tbl>
            <w:tblPr>
              <w:tblStyle w:val="8"/>
              <w:tblW w:w="5004" w:type="pct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124"/>
              <w:gridCol w:w="7014"/>
            </w:tblGrid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/>
                      <w:b/>
                      <w:color w:val="595959"/>
                      <w:sz w:val="20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color w:val="595959"/>
                      <w:sz w:val="20"/>
                      <w:szCs w:val="18"/>
                    </w:rPr>
                    <w:t>持久性和降解性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{{第12部分 生态学信息.急持久性和降解性}}</w:t>
                  </w:r>
                </w:p>
              </w:tc>
            </w:tr>
          </w:tbl>
          <w:p>
            <w:pPr>
              <w:spacing w:after="62" w:afterLines="20" w:line="60" w:lineRule="exact"/>
              <w:jc w:val="center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生物富集或生物积累性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bottom"/>
          </w:tcPr>
          <w:p>
            <w:pPr>
              <w:spacing w:after="62" w:afterLines="20" w:line="60" w:lineRule="exact"/>
              <w:jc w:val="left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  <w:tbl>
            <w:tblPr>
              <w:tblStyle w:val="8"/>
              <w:tblW w:w="5004" w:type="pct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124"/>
              <w:gridCol w:w="7014"/>
            </w:tblGrid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/>
                      <w:b/>
                      <w:color w:val="595959"/>
                      <w:sz w:val="20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color w:val="595959"/>
                      <w:sz w:val="20"/>
                      <w:szCs w:val="18"/>
                    </w:rPr>
                    <w:t>生物富集或生物积累性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{{第12部分 生态学信息.生物富集或生物积累性}}</w:t>
                  </w:r>
                </w:p>
              </w:tc>
            </w:tr>
          </w:tbl>
          <w:p>
            <w:pPr>
              <w:spacing w:after="62" w:afterLines="20" w:line="60" w:lineRule="exact"/>
              <w:jc w:val="center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土壤中的迁移性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bottom"/>
          </w:tcPr>
          <w:p>
            <w:pPr>
              <w:spacing w:after="62" w:afterLines="20" w:line="60" w:lineRule="exact"/>
              <w:jc w:val="left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  <w:tbl>
            <w:tblPr>
              <w:tblStyle w:val="8"/>
              <w:tblW w:w="5004" w:type="pct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124"/>
              <w:gridCol w:w="7014"/>
            </w:tblGrid>
            <w:tr>
              <w:trPr>
                <w:trHeight w:val="340" w:hRule="atLeast"/>
                <w:jc w:val="center"/>
              </w:trPr>
              <w:tc>
                <w:tcPr>
                  <w:tcW w:w="3126" w:type="dxa"/>
                  <w:tcBorders>
                    <w:top w:val="single" w:color="B4B4B4" w:sz="2" w:space="0"/>
                    <w:left w:val="single" w:color="FFFFFF" w:sz="2" w:space="0"/>
                    <w:bottom w:val="single" w:color="B4B4B4" w:sz="2" w:space="0"/>
                    <w:right w:val="single" w:color="808080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80" w:lineRule="exact"/>
                    <w:ind w:right="105" w:rightChars="50"/>
                    <w:jc w:val="right"/>
                    <w:rPr>
                      <w:rFonts w:ascii="Arial" w:hAnsi="Arial" w:eastAsia="微软雅黑"/>
                      <w:b/>
                      <w:color w:val="595959"/>
                      <w:sz w:val="20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color w:val="595959"/>
                      <w:sz w:val="20"/>
                      <w:szCs w:val="18"/>
                    </w:rPr>
                    <w:t>土壤中的迁移性</w:t>
                  </w:r>
                </w:p>
              </w:tc>
              <w:tc>
                <w:tcPr>
                  <w:tcW w:w="7018" w:type="dxa"/>
                  <w:tcBorders>
                    <w:top w:val="single" w:color="B4B4B4" w:sz="2" w:space="0"/>
                    <w:left w:val="single" w:color="808080" w:sz="12" w:space="0"/>
                    <w:bottom w:val="single" w:color="B4B4B4" w:sz="2" w:space="0"/>
                    <w:right w:val="single" w:color="FFFFFF" w:sz="2" w:space="0"/>
                  </w:tcBorders>
                  <w:noWrap w:val="0"/>
                  <w:vAlign w:val="top"/>
                </w:tcPr>
                <w:p>
                  <w:pPr>
                    <w:spacing w:after="0" w:line="280" w:lineRule="exact"/>
                    <w:ind w:left="105" w:leftChars="50"/>
                    <w:jc w:val="left"/>
                    <w:rPr>
                      <w:rFonts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{{第12部分 生态学信息.土壤中的迁移性}}</w:t>
                  </w:r>
                </w:p>
              </w:tc>
            </w:tr>
          </w:tbl>
          <w:p>
            <w:pPr>
              <w:spacing w:after="62" w:afterLines="20" w:line="60" w:lineRule="exact"/>
              <w:jc w:val="center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595959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PBT和vPvB的结果评价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bottom"/>
          </w:tcPr>
          <w:p>
            <w:pPr>
              <w:spacing w:after="62" w:afterLines="20" w:line="60" w:lineRule="exact"/>
              <w:jc w:val="left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  <w:tbl>
            <w:tblPr>
              <w:tblStyle w:val="8"/>
              <w:tblW w:w="4931" w:type="pct"/>
              <w:tblInd w:w="0" w:type="dxa"/>
              <w:tblBorders>
                <w:top w:val="single" w:color="999999" w:sz="4" w:space="0"/>
                <w:left w:val="single" w:color="999999" w:sz="4" w:space="0"/>
                <w:bottom w:val="single" w:color="999999" w:sz="4" w:space="0"/>
                <w:right w:val="single" w:color="999999" w:sz="4" w:space="0"/>
                <w:insideH w:val="single" w:color="999999" w:sz="4" w:space="0"/>
                <w:insideV w:val="single" w:color="999999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638"/>
              <w:gridCol w:w="7348"/>
            </w:tblGrid>
            <w:tr>
              <w:trPr>
                <w:wBefore w:w="0" w:type="dxa"/>
                <w:trHeight w:val="377" w:hRule="atLeast"/>
              </w:trPr>
              <w:tc>
                <w:tcPr>
                  <w:tcW w:w="2639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组分</w:t>
                  </w:r>
                </w:p>
              </w:tc>
              <w:tc>
                <w:tcPr>
                  <w:tcW w:w="7351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PBT/vPvB评价结果 [依据(EC) No 1907/2006]</w:t>
                  </w:r>
                </w:p>
              </w:tc>
            </w:tr>
            <w:tr>
              <w:trPr>
                <w:wBefore w:w="0" w:type="dxa"/>
                <w:trHeight w:val="366" w:hRule="atLeast"/>
              </w:trPr>
              <w:tc>
                <w:tcPr>
                  <w:tcW w:w="263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{{#第12部分 生态学信息.PBT和vPvB的结果评价}}{{.组分}}</w:t>
                  </w:r>
                </w:p>
              </w:tc>
              <w:tc>
                <w:tcPr>
                  <w:tcW w:w="7351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hint="eastAsia" w:ascii="Arial" w:hAnsi="Arial" w:eastAsia="微软雅黑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sz w:val="20"/>
                    </w:rPr>
                    <w:t>{{.PBT/vPvB评价结果 [依据(EC) No 1907/2006]}}</w:t>
                  </w:r>
                </w:p>
              </w:tc>
            </w:tr>
          </w:tbl>
          <w:p>
            <w:pPr>
              <w:spacing w:after="62" w:afterLines="20" w:line="60" w:lineRule="exact"/>
              <w:jc w:val="center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</w:tc>
      </w:tr>
      <w:tr>
        <w:trPr>
          <w:gridAfter w:val="1"/>
          <w:wAfter w:w="336" w:type="dxa"/>
          <w:trHeight w:val="190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tbl>
            <w:tblPr>
              <w:tblStyle w:val="8"/>
              <w:tblW w:w="10141" w:type="dxa"/>
              <w:jc w:val="center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0141"/>
            </w:tblGrid>
            <w:tr>
              <w:trPr>
                <w:trHeight w:val="396" w:hRule="atLeast"/>
                <w:jc w:val="center"/>
              </w:trPr>
              <w:tc>
                <w:tcPr>
                  <w:tcW w:w="10141" w:type="dxa"/>
                  <w:tcBorders>
                    <w:bottom w:val="single" w:color="FFFFFF" w:sz="2" w:space="0"/>
                  </w:tcBorders>
                  <w:noWrap w:val="0"/>
                  <w:vAlign w:val="bottom"/>
                </w:tcPr>
                <w:p>
                  <w:pPr>
                    <w:spacing w:after="62" w:afterLines="20" w:line="280" w:lineRule="exact"/>
                    <w:jc w:val="left"/>
                    <w:rPr>
                      <w:rFonts w:ascii="Arial" w:hAnsi="Arial" w:eastAsia="微软雅黑"/>
                    </w:rPr>
                  </w:pPr>
                  <w:r>
                    <w:rPr>
                      <w:rFonts w:ascii="Arial" w:hAnsi="Arial" w:eastAsia="微软雅黑"/>
                      <w:b/>
                      <w:color w:val="CC3300"/>
                      <w:sz w:val="24"/>
                    </w:rPr>
                    <w:t>|</w:t>
                  </w:r>
                  <w:r>
                    <w:rPr>
                      <w:rFonts w:ascii="Arial" w:hAnsi="Arial" w:eastAsia="微软雅黑"/>
                      <w:b/>
                      <w:color w:val="0D0D0D"/>
                      <w:sz w:val="22"/>
                    </w:rPr>
                    <w:t xml:space="preserve"> </w:t>
                  </w:r>
                  <w:r>
                    <w:rPr>
                      <w:rFonts w:hint="eastAsia" w:ascii="Arial" w:hAnsi="Arial" w:eastAsia="微软雅黑"/>
                      <w:b/>
                      <w:color w:val="0D0D0D"/>
                      <w:sz w:val="22"/>
                    </w:rPr>
                    <w:t>内分泌干扰物特性</w:t>
                  </w:r>
                </w:p>
              </w:tc>
            </w:tr>
            <w:tr>
              <w:trPr>
                <w:trHeight w:val="113" w:hRule="atLeast"/>
                <w:jc w:val="center"/>
              </w:trPr>
              <w:tc>
                <w:tcPr>
                  <w:tcW w:w="10141" w:type="dxa"/>
                  <w:tcBorders>
                    <w:top w:val="single" w:color="FFFFFF" w:sz="2" w:space="0"/>
                    <w:left w:val="single" w:color="FFFFFF" w:sz="2" w:space="0"/>
                    <w:bottom w:val="single" w:color="FFFFFF" w:sz="2" w:space="0"/>
                    <w:right w:val="single" w:color="FFFFFF" w:sz="2" w:space="0"/>
                  </w:tcBorders>
                  <w:noWrap w:val="0"/>
                  <w:vAlign w:val="bottom"/>
                </w:tcPr>
                <w:p>
                  <w:pPr>
                    <w:spacing w:after="62" w:afterLines="20" w:line="60" w:lineRule="exact"/>
                    <w:jc w:val="left"/>
                    <w:rPr>
                      <w:rFonts w:ascii="Arial" w:hAnsi="Arial" w:eastAsia="微软雅黑"/>
                      <w:b/>
                      <w:color w:val="CC3300"/>
                      <w:sz w:val="24"/>
                    </w:rPr>
                  </w:pPr>
                </w:p>
                <w:tbl>
                  <w:tblPr>
                    <w:tblStyle w:val="8"/>
                    <w:tblW w:w="4953" w:type="pct"/>
                    <w:tblInd w:w="0" w:type="dxa"/>
                    <w:tblBorders>
                      <w:top w:val="single" w:color="999999" w:sz="4" w:space="0"/>
                      <w:left w:val="single" w:color="999999" w:sz="4" w:space="0"/>
                      <w:bottom w:val="single" w:color="999999" w:sz="4" w:space="0"/>
                      <w:right w:val="single" w:color="999999" w:sz="4" w:space="0"/>
                      <w:insideH w:val="single" w:color="999999" w:sz="4" w:space="0"/>
                      <w:insideV w:val="single" w:color="999999" w:sz="4" w:space="0"/>
                    </w:tblBorders>
                    <w:tblLayout w:type="fixed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2650"/>
                    <w:gridCol w:w="7380"/>
                  </w:tblGrid>
                  <w:tr>
                    <w:trPr>
                      <w:wBefore w:w="0" w:type="dxa"/>
                      <w:trHeight w:val="397" w:hRule="atLeast"/>
                    </w:trPr>
                    <w:tc>
                      <w:tcPr>
                        <w:tcW w:w="2650" w:type="dxa"/>
                        <w:tcBorders>
                          <w:bottom w:val="single" w:color="666666" w:sz="12" w:space="0"/>
                        </w:tcBorders>
                        <w:shd w:val="clear" w:color="auto" w:fill="F2F2F2"/>
                        <w:noWrap w:val="0"/>
                        <w:vAlign w:val="top"/>
                      </w:tcPr>
                      <w:p>
                        <w:pPr>
                          <w:spacing w:after="0" w:line="240" w:lineRule="exact"/>
                          <w:jc w:val="center"/>
                          <w:rPr>
                            <w:rFonts w:ascii="Arial" w:hAnsi="Arial" w:eastAsia="微软雅黑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hint="eastAsia" w:ascii="Arial" w:hAnsi="Arial" w:eastAsia="微软雅黑"/>
                            <w:b/>
                            <w:bCs/>
                            <w:sz w:val="20"/>
                          </w:rPr>
                          <w:t>组分</w:t>
                        </w:r>
                      </w:p>
                    </w:tc>
                    <w:tc>
                      <w:tcPr>
                        <w:tcW w:w="7381" w:type="dxa"/>
                        <w:tcBorders>
                          <w:bottom w:val="single" w:color="666666" w:sz="12" w:space="0"/>
                        </w:tcBorders>
                        <w:shd w:val="clear" w:color="auto" w:fill="F2F2F2"/>
                        <w:noWrap w:val="0"/>
                        <w:vAlign w:val="top"/>
                      </w:tcPr>
                      <w:p>
                        <w:pPr>
                          <w:spacing w:after="0" w:line="240" w:lineRule="exact"/>
                          <w:jc w:val="center"/>
                          <w:rPr>
                            <w:rFonts w:ascii="Arial" w:hAnsi="Arial" w:eastAsia="微软雅黑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hint="eastAsia" w:ascii="Arial" w:hAnsi="Arial" w:eastAsia="微软雅黑"/>
                            <w:b/>
                            <w:bCs/>
                            <w:sz w:val="20"/>
                          </w:rPr>
                          <w:t>内分泌干扰物特性</w:t>
                        </w:r>
                      </w:p>
                    </w:tc>
                  </w:tr>
                  <w:tr>
                    <w:trPr>
                      <w:wBefore w:w="0" w:type="dxa"/>
                      <w:trHeight w:val="386" w:hRule="atLeast"/>
                    </w:trPr>
                    <w:tc>
                      <w:tcPr>
                        <w:tcW w:w="2650" w:type="dxa"/>
                        <w:noWrap w:val="0"/>
                        <w:vAlign w:val="top"/>
                      </w:tcPr>
                      <w:p>
                        <w:pPr>
                          <w:spacing w:after="0" w:line="240" w:lineRule="exact"/>
                          <w:jc w:val="center"/>
                          <w:rPr>
                            <w:rFonts w:ascii="Arial" w:hAnsi="Arial" w:eastAsia="微软雅黑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hint="eastAsia" w:ascii="Arial" w:hAnsi="Arial" w:eastAsia="微软雅黑"/>
                            <w:b/>
                            <w:bCs/>
                            <w:sz w:val="20"/>
                          </w:rPr>
                          <w:t>{{#第12部分 生态学信息.内分泌干扰物特性}}{{.组分}}</w:t>
                        </w:r>
                      </w:p>
                    </w:tc>
                    <w:tc>
                      <w:tcPr>
                        <w:tcW w:w="7381" w:type="dxa"/>
                        <w:noWrap w:val="0"/>
                        <w:vAlign w:val="top"/>
                      </w:tcPr>
                      <w:p>
                        <w:pPr>
                          <w:spacing w:after="0" w:line="240" w:lineRule="exact"/>
                          <w:jc w:val="center"/>
                          <w:rPr>
                            <w:rFonts w:hint="eastAsia" w:ascii="Arial" w:hAnsi="Arial" w:eastAsia="微软雅黑"/>
                            <w:sz w:val="20"/>
                          </w:rPr>
                        </w:pPr>
                        <w:r>
                          <w:rPr>
                            <w:rFonts w:hint="eastAsia" w:ascii="Arial" w:hAnsi="Arial" w:eastAsia="微软雅黑"/>
                            <w:sz w:val="20"/>
                          </w:rPr>
                          <w:t>{{.内分泌干扰物特性}}</w:t>
                        </w:r>
                      </w:p>
                    </w:tc>
                  </w:tr>
                </w:tbl>
                <w:p>
                  <w:pPr>
                    <w:spacing w:after="62" w:afterLines="20" w:line="60" w:lineRule="exact"/>
                    <w:jc w:val="center"/>
                    <w:rPr>
                      <w:rFonts w:ascii="Arial" w:hAnsi="Arial" w:eastAsia="微软雅黑"/>
                      <w:b/>
                      <w:color w:val="CC3300"/>
                      <w:sz w:val="24"/>
                    </w:rPr>
                  </w:pPr>
                </w:p>
              </w:tc>
            </w:tr>
          </w:tbl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7620</wp:posOffset>
                      </wp:positionV>
                      <wp:extent cx="252095" cy="252095"/>
                      <wp:effectExtent l="0" t="0" r="1905" b="1905"/>
                      <wp:wrapNone/>
                      <wp:docPr id="13" name="自选图形 2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b/>
                                      <w:color w:val="FFFFFF"/>
                                      <w:sz w:val="28"/>
                                    </w:rPr>
                                    <w:t>13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96" o:spid="_x0000_s1026" o:spt="2" style="position:absolute;left:0pt;margin-left:0.6pt;margin-top:0.6pt;height:19.85pt;width:19.85pt;z-index:251672576;v-text-anchor:middle;mso-width-relative:page;mso-height-relative:page;" fillcolor="#CC3300" filled="t" stroked="f" coordsize="21600,21600" arcsize="0.166666666666667" o:gfxdata="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BYAAABkcnMvUEsBAhQAFAAAAAgAh07iQN7db6HOAAAA&#10;BQEAAA8AAAAAAAAAAQAgAAAAOAAAAGRycy9kb3ducmV2LnhtbFBLAQIUABQAAAAIAIdO4kBGZr3D&#10;EQIAAP4DAAAOAAAAAAAAAAEAIAAAADMBAABkcnMvZTJvRG9jLnhtbFBLBQYAAAAABgAGAFkBAAC2&#10;BQAAAAA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color w:val="FFFFFF"/>
                                <w:sz w:val="28"/>
                              </w:rPr>
                              <w:t>13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废弃处置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595959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废弃处理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废弃化学品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{{第13部分 废弃处置.废弃化学品}}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污染包装物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{{第13部分 废弃处置.污染包装物}}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废弃注意事项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{{第13部分 废弃处置.废弃注意事项}}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5715</wp:posOffset>
                      </wp:positionV>
                      <wp:extent cx="252095" cy="252095"/>
                      <wp:effectExtent l="0" t="0" r="1905" b="1905"/>
                      <wp:wrapNone/>
                      <wp:docPr id="14" name="自选图形 2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14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95" o:spid="_x0000_s1026" o:spt="2" style="position:absolute;left:0pt;margin-left:0.6pt;margin-top:0.45pt;height:19.85pt;width:19.85pt;z-index:251673600;v-text-anchor:middle;mso-width-relative:page;mso-height-relative:page;" fillcolor="#CC3300" filled="t" stroked="f" coordsize="21600,21600" arcsize="0.166666666666667" o:gfxdata="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WAAAAZHJzL1BLAQIUABQAAAAIAIdO4kCobd9n0AAA&#10;AAQBAAAPAAAAAAAAAAEAIAAAADgAAABkcnMvZG93bnJldi54bWxQSwECFAAUAAAACACHTuJAPA8o&#10;vxACAAD+AwAADgAAAAAAAAABACAAAAA1AQAAZHJzL2Uyb0RvYy54bWxQSwUGAAAAAAYABgBZAQAA&#10;twUAAAAA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14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运输信息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标签和标记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运输标签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ascii="Arial" w:hAnsi="Arial" w:eastAsia="微软雅黑"/>
                <w:sz w:val="20"/>
                <w:lang/>
              </w:rPr>
              <w:t>{{@运输标签}}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海运危规（IMDG-CODE）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联合国危险货物编号（UN</w:t>
            </w:r>
          </w:p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 xml:space="preserve"> No.）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运输信息.海运危规（IMDG-CODE）.联合国危险货物编号（UN No.）}}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联合国正确运输名称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运输信息.海运危规（IMDG-CODE）.联合国正确运输名称}}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运输主要危险类别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运输信息.海运危规（IMDG-CODE）.运输主要危险类别}}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运输次要危险类别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运输信息.海运危规（IMDG-CODE）.运输次要危险类别}}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包装类别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运输信息.海运危规（IMDG-CODE）.包装类别}}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海洋污染物（是/否）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运输信息.海运危规（IMDG-CODE）.海洋污染物（是/否）}}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空运（IATA-DGR）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联合国危险货物编号（UN</w:t>
            </w:r>
          </w:p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 xml:space="preserve"> No.）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运输信息.空运（IATA-DGR）.联合国危险货物编号（UN No.）}}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联合国正确运输名称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运输信息.空运（IATA-DGR）.联合国正确运输名称}}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运输主要危险类别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运输信息.空运（IATA-DGR）.运输主要危险类别}}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运输次要危险类别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运输信息.空运（IATA-DGR）.运输次要危险类别}}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包装类别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运输信息.空运（IATA-DGR）.包装类别}}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公路运输（UN-ADR）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联合国危险货物编号（UN</w:t>
            </w:r>
          </w:p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 xml:space="preserve"> No.）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运输信息.公路运输（UN-ADR）.联合国危险货物编号（UN No.）}}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联合国正确运输名称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运输信息.公路运输（UN-ADR）.联合国正确运输名称}}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运输主要危险类别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运输信息.公路运输（UN-ADR）.运输主要危险类别}}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运输次要危险类别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运输信息.公路运输（UN-ADR）.运输次要危险类别}}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A6A6A6" w:sz="4" w:space="0"/>
              <w:right w:val="single" w:color="808080" w:sz="12" w:space="0"/>
            </w:tcBorders>
            <w:shd w:val="clear" w:color="auto" w:fill="F2F2F2"/>
            <w:noWrap w:val="0"/>
            <w:vAlign w:val="top"/>
          </w:tcPr>
          <w:p>
            <w:pPr>
              <w:spacing w:after="0" w:line="280" w:lineRule="exact"/>
              <w:ind w:right="105" w:rightChars="50"/>
              <w:jc w:val="right"/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  <w:t>包装类别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A6A6A6" w:sz="4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{{第14部分 运输信息.公路运输（UN-ADR）.包装类别}}</w:t>
            </w: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A6A6A6" w:sz="4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>
                      <wp:simplePos x="0" y="0"/>
                      <wp:positionH relativeFrom="column">
                        <wp:posOffset>9525</wp:posOffset>
                      </wp:positionH>
                      <wp:positionV relativeFrom="paragraph">
                        <wp:posOffset>99060</wp:posOffset>
                      </wp:positionV>
                      <wp:extent cx="252095" cy="252095"/>
                      <wp:effectExtent l="0" t="0" r="1905" b="1905"/>
                      <wp:wrapNone/>
                      <wp:docPr id="15" name="自选图形 2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15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94" o:spid="_x0000_s1026" o:spt="2" style="position:absolute;left:0pt;margin-left:0.75pt;margin-top:7.8pt;height:19.85pt;width:19.85pt;z-index:251674624;v-text-anchor:middle;mso-width-relative:page;mso-height-relative:page;" fillcolor="#CC3300" filled="t" stroked="f" coordsize="21600,21600" arcsize="0.166666666666667" o:gfxdata="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BYAAABkcnMvUEsBAhQAFAAAAAgAh07iQKKANnfS&#10;AAAABgEAAA8AAAAAAAAAAQAgAAAAOAAAAGRycy9kb3ducmV2LnhtbFBLAQIUABQAAAAIAIdO4kB2&#10;9uUKEAIAAP4DAAAOAAAAAAAAAAEAIAAAADcBAABkcnMvZTJvRG9jLnhtbFBLBQYAAAAABgAGAFkB&#10;AAC5BQAAAAA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15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single" w:color="A6A6A6" w:sz="4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before="156" w:beforeLines="50"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法规信息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15.1针对该物质或混合物的安全，健康和环境法规/立法</w:t>
            </w: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ascii="Arial" w:hAnsi="Arial" w:eastAsia="微软雅黑"/>
                <w:b/>
                <w:color w:val="0D0D0D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国际化学品名录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bottom"/>
          </w:tcPr>
          <w:p>
            <w:pPr>
              <w:spacing w:after="62" w:afterLines="20" w:line="60" w:lineRule="exact"/>
              <w:jc w:val="left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  <w:tbl>
            <w:tblPr>
              <w:tblStyle w:val="8"/>
              <w:tblW w:w="9986" w:type="dxa"/>
              <w:tblInd w:w="0" w:type="dxa"/>
              <w:tblBorders>
                <w:top w:val="single" w:color="999999" w:sz="4" w:space="0"/>
                <w:left w:val="single" w:color="999999" w:sz="4" w:space="0"/>
                <w:bottom w:val="single" w:color="999999" w:sz="4" w:space="0"/>
                <w:right w:val="single" w:color="999999" w:sz="4" w:space="0"/>
                <w:insideH w:val="single" w:color="999999" w:sz="4" w:space="0"/>
                <w:insideV w:val="single" w:color="999999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119"/>
              <w:gridCol w:w="1128"/>
              <w:gridCol w:w="842"/>
              <w:gridCol w:w="842"/>
              <w:gridCol w:w="843"/>
              <w:gridCol w:w="842"/>
              <w:gridCol w:w="842"/>
              <w:gridCol w:w="843"/>
              <w:gridCol w:w="842"/>
              <w:gridCol w:w="843"/>
            </w:tblGrid>
            <w:tr>
              <w:trPr>
                <w:wBefore w:w="0" w:type="dxa"/>
                <w:trHeight w:val="333" w:hRule="atLeast"/>
              </w:trPr>
              <w:tc>
                <w:tcPr>
                  <w:tcW w:w="2119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组分</w:t>
                  </w:r>
                </w:p>
              </w:tc>
              <w:tc>
                <w:tcPr>
                  <w:tcW w:w="1128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  <w:t>EC inventory</w:t>
                  </w:r>
                </w:p>
              </w:tc>
              <w:tc>
                <w:tcPr>
                  <w:tcW w:w="84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  <w:t>TSCA</w:t>
                  </w:r>
                </w:p>
              </w:tc>
              <w:tc>
                <w:tcPr>
                  <w:tcW w:w="84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  <w:t>DSL</w:t>
                  </w:r>
                </w:p>
              </w:tc>
              <w:tc>
                <w:tcPr>
                  <w:tcW w:w="843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  <w:t>IECSC</w:t>
                  </w:r>
                </w:p>
              </w:tc>
              <w:tc>
                <w:tcPr>
                  <w:tcW w:w="84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  <w:t>NZIoC</w:t>
                  </w:r>
                </w:p>
              </w:tc>
              <w:tc>
                <w:tcPr>
                  <w:tcW w:w="84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  <w:t>PICCS</w:t>
                  </w:r>
                </w:p>
              </w:tc>
              <w:tc>
                <w:tcPr>
                  <w:tcW w:w="843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  <w:t>KECI</w:t>
                  </w:r>
                </w:p>
              </w:tc>
              <w:tc>
                <w:tcPr>
                  <w:tcW w:w="84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  <w:t>AIIC</w:t>
                  </w:r>
                </w:p>
              </w:tc>
              <w:tc>
                <w:tcPr>
                  <w:tcW w:w="843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  <w:t>ENCS</w:t>
                  </w:r>
                </w:p>
              </w:tc>
            </w:tr>
            <w:tr>
              <w:trPr>
                <w:wBefore w:w="0" w:type="dxa"/>
                <w:trHeight w:val="324" w:hRule="atLeast"/>
              </w:trPr>
              <w:tc>
                <w:tcPr>
                  <w:tcW w:w="211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{{#第15部分 法规信息.国际化学品名录}}{{.组分}}</w:t>
                  </w: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</w:r>
                </w:p>
              </w:tc>
              <w:tc>
                <w:tcPr>
                  <w:tcW w:w="1128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{{.EC inventory}}</w:t>
                  </w:r>
                </w:p>
              </w:tc>
              <w:tc>
                <w:tcPr>
                  <w:tcW w:w="84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{{.TSCA}}</w:t>
                  </w:r>
                </w:p>
              </w:tc>
              <w:tc>
                <w:tcPr>
                  <w:tcW w:w="84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{{.DSL}}</w:t>
                  </w:r>
                </w:p>
              </w:tc>
              <w:tc>
                <w:tcPr>
                  <w:tcW w:w="843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{{.IECSC}}</w:t>
                  </w:r>
                </w:p>
              </w:tc>
              <w:tc>
                <w:tcPr>
                  <w:tcW w:w="84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{{.NZIoC}}</w:t>
                  </w:r>
                </w:p>
              </w:tc>
              <w:tc>
                <w:tcPr>
                  <w:tcW w:w="84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{{.PICCS}}</w:t>
                  </w:r>
                </w:p>
              </w:tc>
              <w:tc>
                <w:tcPr>
                  <w:tcW w:w="843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{{.KECI}}</w:t>
                  </w:r>
                </w:p>
              </w:tc>
              <w:tc>
                <w:tcPr>
                  <w:tcW w:w="84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{{.AIIC}}</w:t>
                  </w:r>
                </w:p>
              </w:tc>
              <w:tc>
                <w:tcPr>
                  <w:tcW w:w="843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00B050"/>
                      <w:sz w:val="20"/>
                    </w:rPr>
                    <w:t>{{.ENCS}}</w:t>
                  </w:r>
                </w:p>
              </w:tc>
            </w:tr>
          </w:tbl>
          <w:p>
            <w:pPr>
              <w:spacing w:after="62" w:afterLines="20" w:line="60" w:lineRule="exact"/>
              <w:jc w:val="center"/>
              <w:rPr>
                <w:rFonts w:ascii="Arial" w:hAnsi="Arial" w:eastAsia="微软雅黑"/>
                <w:b/>
                <w:color w:val="CC3300"/>
                <w:sz w:val="24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  <w:tbl>
            <w:tblPr>
              <w:tblStyle w:val="8"/>
              <w:tblW w:w="10694" w:type="dxa"/>
              <w:tblInd w:w="1" w:type="dxa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65"/>
              <w:gridCol w:w="9129"/>
            </w:tblGrid>
            <w:tr>
              <w:trPr>
                <w:wBefore w:w="0" w:type="dxa"/>
              </w:trPr>
              <w:tc>
                <w:tcPr>
                  <w:tcW w:w="1565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EC inventory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12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欧盟化学品目录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565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TSCA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12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美国TSCA化学物质名录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565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DSL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12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加拿大国内化学物质名录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565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IECSC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12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中国现有化学物质名录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565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NZIoC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12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新西兰现有暂用的化学物质名录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565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PICCS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12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菲律宾化学品和化学物质名录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565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KECI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12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韩国现有化学物质名录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565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AIIC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12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澳大利亚工业化学物质名录(AIIC)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565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ENCS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129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日本现有和新化物质名录</w:t>
                  </w:r>
                </w:p>
              </w:tc>
            </w:tr>
          </w:tbl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before="156" w:beforeLines="50"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 xml:space="preserve">|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欧盟监管物质清单</w:t>
            </w:r>
          </w:p>
        </w:tc>
      </w:tr>
      <w:tr>
        <w:trPr>
          <w:gridAfter w:val="1"/>
          <w:wAfter w:w="336" w:type="dxa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62" w:afterLines="20" w:line="60" w:lineRule="exact"/>
              <w:jc w:val="left"/>
              <w:rPr>
                <w:rFonts w:ascii="Arial" w:hAnsi="Arial" w:eastAsia="微软雅黑"/>
              </w:rPr>
            </w:pPr>
          </w:p>
          <w:tbl>
            <w:tblPr>
              <w:tblStyle w:val="8"/>
              <w:tblW w:w="9990" w:type="dxa"/>
              <w:tblInd w:w="0" w:type="dxa"/>
              <w:tblBorders>
                <w:top w:val="single" w:color="999999" w:sz="4" w:space="0"/>
                <w:left w:val="single" w:color="999999" w:sz="4" w:space="0"/>
                <w:bottom w:val="single" w:color="999999" w:sz="4" w:space="0"/>
                <w:right w:val="single" w:color="999999" w:sz="4" w:space="0"/>
                <w:insideH w:val="single" w:color="999999" w:sz="4" w:space="0"/>
                <w:insideV w:val="single" w:color="999999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555"/>
              <w:gridCol w:w="1062"/>
              <w:gridCol w:w="1063"/>
              <w:gridCol w:w="1062"/>
              <w:gridCol w:w="1062"/>
              <w:gridCol w:w="1062"/>
              <w:gridCol w:w="1062"/>
              <w:gridCol w:w="1062"/>
            </w:tblGrid>
            <w:tr>
              <w:trPr>
                <w:wBefore w:w="0" w:type="dxa"/>
                <w:wAfter w:w="0" w:type="dxa"/>
                <w:trHeight w:val="422" w:hRule="atLeast"/>
              </w:trPr>
              <w:tc>
                <w:tcPr>
                  <w:tcW w:w="2555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组分</w:t>
                  </w:r>
                </w:p>
              </w:tc>
              <w:tc>
                <w:tcPr>
                  <w:tcW w:w="106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A</w:t>
                  </w:r>
                </w:p>
              </w:tc>
              <w:tc>
                <w:tcPr>
                  <w:tcW w:w="1063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B</w:t>
                  </w:r>
                </w:p>
              </w:tc>
              <w:tc>
                <w:tcPr>
                  <w:tcW w:w="106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C</w:t>
                  </w:r>
                </w:p>
              </w:tc>
              <w:tc>
                <w:tcPr>
                  <w:tcW w:w="106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D</w:t>
                  </w:r>
                </w:p>
              </w:tc>
              <w:tc>
                <w:tcPr>
                  <w:tcW w:w="106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E</w:t>
                  </w:r>
                </w:p>
              </w:tc>
              <w:tc>
                <w:tcPr>
                  <w:tcW w:w="106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F</w:t>
                  </w:r>
                </w:p>
              </w:tc>
              <w:tc>
                <w:tcPr>
                  <w:tcW w:w="1062" w:type="dxa"/>
                  <w:tcBorders>
                    <w:bottom w:val="single" w:color="666666" w:sz="12" w:space="0"/>
                  </w:tcBorders>
                  <w:shd w:val="clear" w:color="auto" w:fill="F2F2F2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G</w:t>
                  </w:r>
                </w:p>
              </w:tc>
            </w:tr>
            <w:tr>
              <w:trPr>
                <w:wBefore w:w="0" w:type="dxa"/>
                <w:trHeight w:val="411" w:hRule="atLeast"/>
              </w:trPr>
              <w:tc>
                <w:tcPr>
                  <w:tcW w:w="2555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b/>
                      <w:bCs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b/>
                      <w:bCs/>
                      <w:sz w:val="20"/>
                    </w:rPr>
                    <w:t>{{#第15部分 法规信息.欧盟监管物质清单}}{{.组分}}</w:t>
                  </w:r>
                  <w:r>
                    <w:rPr>
                      <w:rFonts w:ascii="Arial" w:hAnsi="Arial" w:eastAsia="微软雅黑"/>
                      <w:b/>
                      <w:bCs/>
                      <w:sz w:val="20"/>
                    </w:rPr>
                  </w:r>
                </w:p>
              </w:tc>
              <w:tc>
                <w:tcPr>
                  <w:tcW w:w="106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{{.A}}</w:t>
                  </w:r>
                </w:p>
              </w:tc>
              <w:tc>
                <w:tcPr>
                  <w:tcW w:w="1063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{{.B}}</w:t>
                  </w:r>
                </w:p>
              </w:tc>
              <w:tc>
                <w:tcPr>
                  <w:tcW w:w="106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{{.C}}</w:t>
                  </w:r>
                </w:p>
              </w:tc>
              <w:tc>
                <w:tcPr>
                  <w:tcW w:w="106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hint="eastAsia"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00B050"/>
                      <w:sz w:val="20"/>
                    </w:rPr>
                    <w:t>{{.D}}</w:t>
                  </w:r>
                </w:p>
              </w:tc>
              <w:tc>
                <w:tcPr>
                  <w:tcW w:w="106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{{.E}}</w:t>
                  </w:r>
                </w:p>
              </w:tc>
              <w:tc>
                <w:tcPr>
                  <w:tcW w:w="106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{{.F}}</w:t>
                  </w:r>
                </w:p>
              </w:tc>
              <w:tc>
                <w:tcPr>
                  <w:tcW w:w="106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center"/>
                    <w:rPr>
                      <w:rFonts w:ascii="Arial" w:hAnsi="Arial" w:eastAsia="微软雅黑"/>
                      <w:color w:val="FF0000"/>
                      <w:sz w:val="20"/>
                    </w:rPr>
                  </w:pPr>
                  <w:r>
                    <w:rPr>
                      <w:rFonts w:hint="eastAsia" w:ascii="Arial" w:hAnsi="Arial" w:eastAsia="微软雅黑"/>
                      <w:color w:val="FF0000"/>
                      <w:sz w:val="20"/>
                    </w:rPr>
                    <w:t>{{.G}}</w:t>
                  </w:r>
                </w:p>
              </w:tc>
            </w:tr>
          </w:tbl>
          <w:p>
            <w:pPr>
              <w:spacing w:after="0" w:line="200" w:lineRule="exact"/>
              <w:rPr>
                <w:rFonts w:hint="eastAsia"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  <w:tbl>
            <w:tblPr>
              <w:tblStyle w:val="8"/>
              <w:tblW w:w="10665" w:type="dxa"/>
              <w:tblInd w:w="1" w:type="dxa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6"/>
              <w:gridCol w:w="567"/>
              <w:gridCol w:w="9392"/>
            </w:tblGrid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A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959" w:type="dxa"/>
                  <w:gridSpan w:val="2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 w:cs="Arial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 w:cs="Arial"/>
                      <w:sz w:val="18"/>
                      <w:szCs w:val="18"/>
                    </w:rPr>
                    <w:t>欧盟REACH法规 高关注度物质（SVHC）清单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B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959" w:type="dxa"/>
                  <w:gridSpan w:val="2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 w:cs="Arial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 w:cs="Arial"/>
                      <w:sz w:val="18"/>
                      <w:szCs w:val="18"/>
                    </w:rPr>
                    <w:t>欧盟REACH法规 授权物质清单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C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959" w:type="dxa"/>
                  <w:gridSpan w:val="2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 w:cs="Arial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 w:cs="Arial"/>
                      <w:sz w:val="18"/>
                      <w:szCs w:val="18"/>
                    </w:rPr>
                    <w:t>欧盟REACH法规 限制物质清单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D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959" w:type="dxa"/>
                  <w:gridSpan w:val="2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 w:cs="Arial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 w:cs="Arial"/>
                      <w:sz w:val="18"/>
                      <w:szCs w:val="18"/>
                    </w:rPr>
                    <w:t>欧盟REACH法规 预注册物质清单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E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959" w:type="dxa"/>
                  <w:gridSpan w:val="2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 w:cs="Arial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 w:cs="Arial"/>
                      <w:sz w:val="18"/>
                      <w:szCs w:val="18"/>
                    </w:rPr>
                    <w:t>欧盟REACH法规 注册物质清单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F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959" w:type="dxa"/>
                  <w:gridSpan w:val="2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 w:cs="Arial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 w:cs="Arial"/>
                      <w:sz w:val="18"/>
                      <w:szCs w:val="18"/>
                    </w:rPr>
                    <w:t>欧盟社区滚动行动计划（CoRAP）物质清单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</w:t>
                  </w: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G</w:t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】</w:t>
                  </w:r>
                </w:p>
              </w:tc>
              <w:tc>
                <w:tcPr>
                  <w:tcW w:w="9959" w:type="dxa"/>
                  <w:gridSpan w:val="2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 w:cs="Arial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 w:cs="Arial"/>
                      <w:sz w:val="18"/>
                      <w:szCs w:val="18"/>
                    </w:rPr>
                    <w:t>欧盟水保护指令中优先物质清单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b/>
                      <w:sz w:val="18"/>
                      <w:szCs w:val="18"/>
                    </w:rPr>
                    <w:t>注：</w:t>
                  </w:r>
                </w:p>
              </w:tc>
              <w:tc>
                <w:tcPr>
                  <w:tcW w:w="9959" w:type="dxa"/>
                  <w:gridSpan w:val="2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 w:cs="Arial"/>
                      <w:sz w:val="18"/>
                      <w:szCs w:val="18"/>
                    </w:rPr>
                  </w:pPr>
                </w:p>
              </w:tc>
            </w:tr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b/>
                      <w:sz w:val="18"/>
                      <w:szCs w:val="18"/>
                    </w:rPr>
                  </w:pPr>
                </w:p>
              </w:tc>
              <w:tc>
                <w:tcPr>
                  <w:tcW w:w="567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right"/>
                    <w:rPr>
                      <w:rFonts w:ascii="Arial" w:hAnsi="Arial" w:eastAsia="微软雅黑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“√”</w:t>
                  </w:r>
                </w:p>
              </w:tc>
              <w:tc>
                <w:tcPr>
                  <w:tcW w:w="939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b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 w:cs="Arial"/>
                      <w:sz w:val="18"/>
                      <w:szCs w:val="18"/>
                    </w:rPr>
                    <w:t>表示该物质列入法规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706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b/>
                      <w:sz w:val="18"/>
                      <w:szCs w:val="18"/>
                    </w:rPr>
                  </w:pPr>
                </w:p>
              </w:tc>
              <w:tc>
                <w:tcPr>
                  <w:tcW w:w="567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right"/>
                    <w:rPr>
                      <w:rFonts w:ascii="Arial" w:hAnsi="Arial" w:eastAsia="微软雅黑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sz w:val="18"/>
                      <w:szCs w:val="18"/>
                    </w:rPr>
                    <w:t>“×”</w:t>
                  </w:r>
                </w:p>
              </w:tc>
              <w:tc>
                <w:tcPr>
                  <w:tcW w:w="9392" w:type="dxa"/>
                  <w:noWrap w:val="0"/>
                  <w:vAlign w:val="top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b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 w:cs="Arial"/>
                      <w:sz w:val="18"/>
                      <w:szCs w:val="18"/>
                    </w:rPr>
                    <w:t>表示暂无资料或未列入法规</w:t>
                  </w:r>
                </w:p>
              </w:tc>
            </w:tr>
          </w:tbl>
          <w:p>
            <w:pPr>
              <w:spacing w:after="0" w:line="60" w:lineRule="exact"/>
              <w:jc w:val="left"/>
              <w:rPr>
                <w:rFonts w:ascii="Arial" w:hAnsi="Arial" w:eastAsia="微软雅黑"/>
                <w:sz w:val="20"/>
              </w:rPr>
            </w:pPr>
          </w:p>
        </w:tc>
      </w:tr>
      <w:tr>
        <w:trPr>
          <w:gridAfter w:val="1"/>
          <w:wAfter w:w="336" w:type="dxa"/>
          <w:trHeight w:val="284" w:hRule="atLeast"/>
          <w:jc w:val="center"/>
        </w:trPr>
        <w:tc>
          <w:tcPr>
            <w:tcW w:w="480" w:type="dxa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dashSmallGap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1905</wp:posOffset>
                      </wp:positionV>
                      <wp:extent cx="252095" cy="252095"/>
                      <wp:effectExtent l="0" t="0" r="1905" b="1905"/>
                      <wp:wrapNone/>
                      <wp:docPr id="16" name="自选图形 29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2095" cy="25209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CC3300"/>
                              </a:solidFill>
                              <a:ln w="1270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line="240" w:lineRule="exact"/>
                                    <w:jc w:val="center"/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16</w:t>
                                  </w:r>
                                </w:p>
                              </w:txbxContent>
                            </wps:txbx>
                            <wps:bodyPr wrap="square" lIns="0" tIns="36000" rIns="0" bIns="0" anchor="ctr" anchorCtr="0"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自选图形 293" o:spid="_x0000_s1026" o:spt="2" style="position:absolute;left:0pt;margin-left:0.6pt;margin-top:0.15pt;height:19.85pt;width:19.85pt;z-index:251675648;v-text-anchor:middle;mso-width-relative:page;mso-height-relative:page;" fillcolor="#CC3300" filled="t" stroked="f" coordsize="21600,21600" arcsize="0.166666666666667" o:gfxdata="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BYAAABkcnMvUEsBAhQAFAAAAAgAh07iQG/uC3TR&#10;AAAABAEAAA8AAAAAAAAAAQAgAAAAOAAAAGRycy9kb3ducmV2LnhtbFBLAQIUABQAAAAIAIdO4kDn&#10;cNTMEQIAAP4DAAAOAAAAAAAAAAEAIAAAADYBAABkcnMvZTJvRG9jLnhtbFBLBQYAAAAABgAGAFkB&#10;AAC5BQAAAAA=&#10;">
                      <v:fill on="t" focussize="0,0"/>
                      <v:stroke on="f" weight="1pt"/>
                      <v:imagedata o:title=""/>
                      <o:lock v:ext="edit" aspectratio="f"/>
                      <v:textbox inset="0mm,1mm,0mm,0mm">
                        <w:txbxContent>
                          <w:p>
                            <w:pPr>
                              <w:spacing w:after="0" w:line="240" w:lineRule="exact"/>
                              <w:jc w:val="center"/>
                              <w:rPr>
                                <w:b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16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9661" w:type="dxa"/>
            <w:gridSpan w:val="7"/>
            <w:tcBorders>
              <w:top w:val="dashSmallGap" w:color="FFFFFF" w:sz="2" w:space="0"/>
              <w:left w:val="dashSmallGap" w:color="FFFFFF" w:sz="2" w:space="0"/>
              <w:bottom w:val="dashSmallGap" w:color="808080" w:sz="4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400" w:lineRule="exact"/>
              <w:jc w:val="left"/>
              <w:rPr>
                <w:rFonts w:ascii="Arial" w:hAnsi="Arial" w:eastAsia="微软雅黑"/>
              </w:rPr>
            </w:pPr>
            <w:r>
              <w:rPr>
                <w:rFonts w:hint="eastAsia" w:ascii="Arial" w:hAnsi="Arial" w:eastAsia="微软雅黑"/>
                <w:color w:val="404040"/>
                <w:sz w:val="28"/>
              </w:rPr>
              <w:t>其他信息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B4B4B4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595959"/>
                <w:sz w:val="22"/>
              </w:rPr>
              <w:t xml:space="preserve">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修订信息</w:t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center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编制日期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280" w:lineRule="exact"/>
              <w:ind w:left="105" w:leftChars="50"/>
              <w:jc w:val="left"/>
              <w:rPr>
                <w:rFonts w:hint="eastAsia" w:ascii="Arial" w:hAnsi="Arial" w:eastAsia="微软雅黑"/>
                <w:sz w:val="20"/>
                <w:lang w:val="en-US" w:eastAsia="zh-CN"/>
              </w:rPr>
            </w:pPr>
            <w:r>
              <w:rPr>
                <w:rFonts w:hint="eastAsia" w:ascii="Arial" w:hAnsi="Arial" w:eastAsia="微软雅黑"/>
                <w:sz w:val="20"/>
                <w:lang w:val="en-US" w:eastAsia="zh-CN"/>
              </w:rPr>
              <w:t>{{第16部分 其他信息.编制日期}}</w:t>
            </w:r>
            <w:r>
              <w:rPr>
                <w:rFonts w:hint="eastAsia" w:ascii="Arial" w:hAnsi="Arial" w:eastAsia="微软雅黑"/>
                <w:sz w:val="20"/>
              </w:rPr>
            </w:r>
            <w:r>
              <w:rPr>
                <w:rFonts w:hint="eastAsia" w:ascii="Arial" w:hAnsi="Arial" w:eastAsia="微软雅黑"/>
                <w:sz w:val="20"/>
                <w:lang w:val="en-US" w:eastAsia="zh-CN"/>
              </w:rPr>
            </w:r>
            <w:r>
              <w:rPr>
                <w:rFonts w:hint="eastAsia" w:ascii="Arial" w:hAnsi="Arial" w:eastAsia="微软雅黑"/>
                <w:sz w:val="20"/>
              </w:rPr>
            </w:r>
            <w:r>
              <w:rPr>
                <w:rFonts w:hint="eastAsia" w:ascii="Arial" w:hAnsi="Arial" w:eastAsia="微软雅黑"/>
                <w:sz w:val="20"/>
                <w:lang w:val="en-US" w:eastAsia="zh-CN"/>
              </w:rPr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center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修订日期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  <w:lang w:val="en-US" w:eastAsia="zh-CN"/>
              </w:rPr>
              <w:t>{{第16部分 其他信息.修订日期}}</w:t>
            </w:r>
            <w:r>
              <w:rPr>
                <w:rFonts w:hint="eastAsia" w:ascii="Arial" w:hAnsi="Arial" w:eastAsia="微软雅黑"/>
                <w:sz w:val="20"/>
              </w:rPr>
            </w:r>
            <w:r>
              <w:rPr>
                <w:rFonts w:hint="eastAsia" w:ascii="Arial" w:hAnsi="Arial" w:eastAsia="微软雅黑"/>
                <w:sz w:val="20"/>
                <w:lang w:val="en-US" w:eastAsia="zh-CN"/>
              </w:rPr>
            </w:r>
            <w:r>
              <w:rPr>
                <w:rFonts w:hint="eastAsia" w:ascii="Arial" w:hAnsi="Arial" w:eastAsia="微软雅黑"/>
                <w:sz w:val="20"/>
              </w:rPr>
            </w:r>
            <w:r>
              <w:rPr>
                <w:rFonts w:hint="eastAsia" w:ascii="Arial" w:hAnsi="Arial" w:eastAsia="微软雅黑"/>
                <w:sz w:val="20"/>
                <w:lang w:val="en-US" w:eastAsia="zh-CN"/>
              </w:rPr>
            </w:r>
          </w:p>
        </w:tc>
      </w:tr>
      <w:tr>
        <w:trPr>
          <w:gridAfter w:val="1"/>
          <w:wAfter w:w="336" w:type="dxa"/>
          <w:trHeight w:val="340" w:hRule="atLeast"/>
          <w:jc w:val="center"/>
        </w:trPr>
        <w:tc>
          <w:tcPr>
            <w:tcW w:w="3123" w:type="dxa"/>
            <w:gridSpan w:val="2"/>
            <w:tcBorders>
              <w:top w:val="single" w:color="B4B4B4" w:sz="2" w:space="0"/>
              <w:left w:val="single" w:color="FFFFFF" w:sz="2" w:space="0"/>
              <w:bottom w:val="single" w:color="B4B4B4" w:sz="2" w:space="0"/>
              <w:right w:val="single" w:color="808080" w:sz="12" w:space="0"/>
            </w:tcBorders>
            <w:shd w:val="clear" w:color="auto" w:fill="F2F2F2"/>
            <w:noWrap w:val="0"/>
            <w:vAlign w:val="center"/>
          </w:tcPr>
          <w:p>
            <w:pPr>
              <w:spacing w:after="0" w:line="280" w:lineRule="exact"/>
              <w:ind w:right="105" w:rightChars="50"/>
              <w:jc w:val="right"/>
              <w:rPr>
                <w:rFonts w:ascii="Arial" w:hAnsi="Arial" w:eastAsia="微软雅黑"/>
                <w:b/>
                <w:color w:val="595959"/>
                <w:sz w:val="20"/>
                <w:szCs w:val="18"/>
              </w:rPr>
            </w:pPr>
            <w:r>
              <w:rPr>
                <w:rFonts w:hint="eastAsia" w:ascii="Arial" w:hAnsi="Arial" w:eastAsia="微软雅黑"/>
                <w:b/>
                <w:color w:val="595959"/>
                <w:sz w:val="20"/>
                <w:szCs w:val="18"/>
              </w:rPr>
              <w:t>修订原因</w:t>
            </w:r>
          </w:p>
        </w:tc>
        <w:tc>
          <w:tcPr>
            <w:tcW w:w="7018" w:type="dxa"/>
            <w:gridSpan w:val="6"/>
            <w:tcBorders>
              <w:top w:val="single" w:color="B4B4B4" w:sz="2" w:space="0"/>
              <w:left w:val="single" w:color="808080" w:sz="12" w:space="0"/>
              <w:bottom w:val="single" w:color="B4B4B4" w:sz="2" w:space="0"/>
              <w:right w:val="single" w:color="FFFFFF" w:sz="2" w:space="0"/>
            </w:tcBorders>
            <w:noWrap w:val="0"/>
            <w:vAlign w:val="center"/>
          </w:tcPr>
          <w:p>
            <w:pPr>
              <w:spacing w:after="0" w:line="280" w:lineRule="exact"/>
              <w:ind w:left="105" w:leftChars="50"/>
              <w:jc w:val="left"/>
              <w:rPr>
                <w:rFonts w:ascii="Arial" w:hAnsi="Arial" w:eastAsia="微软雅黑"/>
                <w:sz w:val="20"/>
              </w:rPr>
            </w:pPr>
            <w:r>
              <w:rPr>
                <w:rFonts w:hint="eastAsia" w:ascii="Arial" w:hAnsi="Arial" w:eastAsia="微软雅黑"/>
                <w:sz w:val="20"/>
              </w:rPr>
              <w:t>{{第16部分 其他信息.修订原因}}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B4B4B4" w:sz="2" w:space="0"/>
              <w:bottom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 xml:space="preserve">|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参考文献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  <w:tbl>
            <w:tblPr>
              <w:tblStyle w:val="8"/>
              <w:tblW w:w="0" w:type="auto"/>
              <w:tblInd w:w="1" w:type="dxa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91"/>
              <w:gridCol w:w="9963"/>
            </w:tblGrid>
            <w:tr>
              <w:trPr>
                <w:wBefore w:w="0" w:type="dxa"/>
              </w:trPr>
              <w:tc>
                <w:tcPr>
                  <w:tcW w:w="69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【1】</w:t>
                  </w:r>
                </w:p>
              </w:tc>
              <w:tc>
                <w:tcPr>
                  <w:tcW w:w="9963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国际化学品安全规划署：国际化学品安全卡（ICSC），网址：</w:t>
                  </w:r>
                  <w:r>
                    <w:fldChar w:fldCharType="begin"/>
                  </w:r>
                  <w:r>
                    <w:instrText xml:space="preserve"> HYPERLINK "http://www.ilo.org/dyn/icsc/showcard.home"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http://www.ilo.org/dyn/icsc/showcard.home</w:t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fldChar w:fldCharType="end"/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。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69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【2】</w:t>
                  </w:r>
                </w:p>
              </w:tc>
              <w:tc>
                <w:tcPr>
                  <w:tcW w:w="9963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国际癌症研究机构，网址：</w:t>
                  </w:r>
                  <w:r>
                    <w:fldChar w:fldCharType="begin"/>
                  </w:r>
                  <w:r>
                    <w:instrText xml:space="preserve"> HYPERLINK "http://www.iarc.fr/"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http://www.iarc.fr/</w:t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fldChar w:fldCharType="end"/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。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69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【3】</w:t>
                  </w:r>
                </w:p>
              </w:tc>
              <w:tc>
                <w:tcPr>
                  <w:tcW w:w="9963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right="198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OECD全球化学品信息平台，网址：</w:t>
                  </w:r>
                  <w:r>
                    <w:fldChar w:fldCharType="begin"/>
                  </w:r>
                  <w:r>
                    <w:instrText xml:space="preserve"> HYPERLINK "https://www.echemportal.org/echemportal/substancesearch/index.action"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https://www.echemportal.org/echemportal/substancesearch/index.action</w:t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fldChar w:fldCharType="end"/>
                  </w:r>
                  <w:r>
                    <w:rPr>
                      <w:rFonts w:hint="eastAsia" w:ascii="Arial" w:hAnsi="Arial" w:eastAsia="微软雅黑"/>
                      <w:bCs/>
                      <w:kern w:val="0"/>
                      <w:sz w:val="18"/>
                      <w:szCs w:val="18"/>
                    </w:rPr>
                    <w:t>。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69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【4】</w:t>
                  </w:r>
                </w:p>
              </w:tc>
              <w:tc>
                <w:tcPr>
                  <w:tcW w:w="9963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美国CAMEO化学物质数据库，网址：</w:t>
                  </w:r>
                  <w:r>
                    <w:fldChar w:fldCharType="begin"/>
                  </w:r>
                  <w:r>
                    <w:instrText xml:space="preserve"> HYPERLINK "http://cameochemicals.noaa.gov/search/simple"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hint="eastAsia" w:ascii="Arial" w:hAnsi="Arial" w:eastAsia="微软雅黑"/>
                      <w:sz w:val="18"/>
                      <w:szCs w:val="18"/>
                    </w:rPr>
                    <w:t>http://cameochemicals.noaa.gov/search/simple</w:t>
                  </w:r>
                  <w:r>
                    <w:rPr>
                      <w:rStyle w:val="14"/>
                      <w:rFonts w:ascii="Arial" w:hAnsi="Arial" w:eastAsia="微软雅黑"/>
                      <w:sz w:val="18"/>
                      <w:szCs w:val="18"/>
                    </w:rPr>
                    <w:fldChar w:fldCharType="end"/>
                  </w: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。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69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【5】</w:t>
                  </w:r>
                </w:p>
              </w:tc>
              <w:tc>
                <w:tcPr>
                  <w:tcW w:w="9963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美国医学图书馆:化学品标识数据库，网址：</w:t>
                  </w:r>
                  <w:r>
                    <w:fldChar w:fldCharType="begin"/>
                  </w:r>
                  <w:r>
                    <w:instrText xml:space="preserve"> HYPERLINK "http://chem.sis.nlm.nih.gov/chemidplus/chemidlite.jsp"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http://chem.sis.nlm.nih.gov/chemidplus/chemidlite.jsp</w:t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fldChar w:fldCharType="end"/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。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69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【6】</w:t>
                  </w:r>
                </w:p>
              </w:tc>
              <w:tc>
                <w:tcPr>
                  <w:tcW w:w="9963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美国环境保护署：综合危险性信息系统，网址：</w:t>
                  </w:r>
                  <w:r>
                    <w:fldChar w:fldCharType="begin"/>
                  </w:r>
                  <w:r>
                    <w:instrText xml:space="preserve"> HYPERLINK "http://cfpub.epa.gov/ecotox/"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http://cfpub.epa.gov/iris/</w:t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fldChar w:fldCharType="end"/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。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69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【7】</w:t>
                  </w:r>
                </w:p>
              </w:tc>
              <w:tc>
                <w:tcPr>
                  <w:tcW w:w="9963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美国交通部：应急响应指南，网址：</w:t>
                  </w:r>
                  <w:r>
                    <w:fldChar w:fldCharType="begin"/>
                  </w:r>
                  <w:r>
                    <w:instrText xml:space="preserve"> HYPERLINK "http://www.phmsa.dot.gov/hazmat/library/erg"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http://www.phmsa.dot.gov/hazmat/library/erg</w:t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fldChar w:fldCharType="end"/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。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69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【8】</w:t>
                  </w:r>
                </w:p>
              </w:tc>
              <w:tc>
                <w:tcPr>
                  <w:tcW w:w="9963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德国GESTIS-有害物质数据库，网址：</w:t>
                  </w:r>
                  <w:r>
                    <w:fldChar w:fldCharType="begin"/>
                  </w:r>
                  <w:r>
                    <w:instrText xml:space="preserve"> HYPERLINK "http://gestis-en.itrust.de/" </w:instrText>
                  </w:r>
                  <w:r>
                    <w:fldChar w:fldCharType="separate"/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http://gestis-en.itrust.de/</w:t>
                  </w:r>
                  <w:r>
                    <w:rPr>
                      <w:rStyle w:val="14"/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fldChar w:fldCharType="end"/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18"/>
                    </w:rPr>
                    <w:t>。</w:t>
                  </w:r>
                </w:p>
              </w:tc>
            </w:tr>
          </w:tbl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 xml:space="preserve">| 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>缩略语</w:t>
            </w:r>
          </w:p>
        </w:tc>
      </w:tr>
      <w:tr>
        <w:trPr>
          <w:gridAfter w:val="1"/>
          <w:wAfter w:w="336" w:type="dxa"/>
          <w:trHeight w:val="113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left w:val="single" w:color="FFFFFF" w:sz="2" w:space="0"/>
              <w:bottom w:val="single" w:color="FFFFFF" w:sz="2" w:space="0"/>
              <w:right w:val="single" w:color="FFFFFF" w:sz="2" w:space="0"/>
            </w:tcBorders>
            <w:noWrap w:val="0"/>
            <w:vAlign w:val="top"/>
          </w:tcPr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  <w:tbl>
            <w:tblPr>
              <w:tblStyle w:val="8"/>
              <w:tblW w:w="0" w:type="auto"/>
              <w:tblInd w:w="1" w:type="dxa"/>
              <w:tblBorders>
                <w:top w:val="single" w:color="FFFFFF" w:sz="2" w:space="0"/>
                <w:left w:val="single" w:color="FFFFFF" w:sz="2" w:space="0"/>
                <w:bottom w:val="single" w:color="FFFFFF" w:sz="2" w:space="0"/>
                <w:right w:val="single" w:color="FFFFFF" w:sz="2" w:space="0"/>
                <w:insideH w:val="single" w:color="FFFFFF" w:sz="2" w:space="0"/>
                <w:insideV w:val="single" w:color="FFFFFF" w:sz="2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1"/>
              <w:gridCol w:w="3456"/>
              <w:gridCol w:w="850"/>
              <w:gridCol w:w="5311"/>
            </w:tblGrid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CAS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化学文摘号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UN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联合国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PC-STEL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短时间接触容许浓度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OECD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世界经济合作与发展组织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PC-TWA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时间加权平均容许浓度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IMDG-CODE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国际海运危险货物规则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</w:pPr>
                  <w:r>
                    <w:rPr>
                      <w:rFonts w:hint="eastAsia" w:ascii="Arial" w:hAnsi="Arial" w:eastAsia="微软雅黑"/>
                      <w:bCs/>
                      <w:kern w:val="0"/>
                      <w:sz w:val="18"/>
                      <w:szCs w:val="20"/>
                    </w:rPr>
                    <w:t>MAC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最高容许浓度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IARC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国际癌症研究机构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DNEL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衍生的无影响水平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ICAO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国际民航组织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PNEC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预测的无效应浓度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IATA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国际航空运输协会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NOEC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无显见效应浓度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ACGIH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美国工业卫生会议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LC</w:t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  <w:vertAlign w:val="subscript"/>
                    </w:rPr>
                    <w:t>50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50%致死浓度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NFPA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美国消防协会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LD</w:t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  <w:vertAlign w:val="subscript"/>
                    </w:rPr>
                    <w:t>50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50%致死剂量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NTP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sz w:val="18"/>
                      <w:szCs w:val="18"/>
                    </w:rPr>
                    <w:t>国家毒理学计划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EC</w:t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  <w:vertAlign w:val="subscript"/>
                    </w:rPr>
                    <w:t>50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引起50%反应的有效物质浓度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PBT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持久性，生物累积性，毒性物质</w:t>
                  </w:r>
                </w:p>
              </w:tc>
            </w:tr>
            <w:tr>
              <w:trPr>
                <w:wBefore w:w="0" w:type="dxa"/>
                <w:trHeight w:val="75" w:hRule="atLeast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微软雅黑" w:hAnsi="微软雅黑" w:eastAsia="微软雅黑"/>
                      <w:bCs/>
                      <w:kern w:val="0"/>
                      <w:sz w:val="18"/>
                      <w:szCs w:val="20"/>
                    </w:rPr>
                    <w:t>EC</w:t>
                  </w:r>
                  <w:r>
                    <w:rPr>
                      <w:rFonts w:hint="eastAsia" w:ascii="微软雅黑" w:hAnsi="微软雅黑" w:eastAsia="微软雅黑"/>
                      <w:bCs/>
                      <w:kern w:val="0"/>
                      <w:sz w:val="18"/>
                      <w:szCs w:val="20"/>
                      <w:vertAlign w:val="subscript"/>
                    </w:rPr>
                    <w:t>X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微软雅黑" w:hAnsi="微软雅黑" w:eastAsia="微软雅黑"/>
                      <w:bCs/>
                      <w:kern w:val="0"/>
                      <w:sz w:val="18"/>
                      <w:szCs w:val="20"/>
                    </w:rPr>
                    <w:t>产生 x%反应的浓度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vPvB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高持久性，高生物累积性物质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P</w:t>
                  </w: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  <w:vertAlign w:val="subscript"/>
                    </w:rPr>
                    <w:t>OW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辛醇/水分配系数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CMR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致癌、致畸和有生殖毒性的化学物质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BCF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生物富集系数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RPE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>呼吸防护设备</w:t>
                  </w:r>
                </w:p>
              </w:tc>
            </w:tr>
            <w:tr>
              <w:trPr>
                <w:wBefore w:w="0" w:type="dxa"/>
              </w:trPr>
              <w:tc>
                <w:tcPr>
                  <w:tcW w:w="1041" w:type="dxa"/>
                  <w:noWrap w:val="0"/>
                  <w:vAlign w:val="center"/>
                </w:tcPr>
                <w:p>
                  <w:pPr>
                    <w:spacing w:after="0" w:line="240" w:lineRule="exact"/>
                    <w:ind w:left="63" w:leftChars="30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>ED</w:t>
                  </w:r>
                </w:p>
              </w:tc>
              <w:tc>
                <w:tcPr>
                  <w:tcW w:w="3456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hint="eastAsia" w:ascii="Arial" w:hAnsi="Arial" w:eastAsia="微软雅黑"/>
                      <w:kern w:val="0"/>
                      <w:sz w:val="18"/>
                      <w:szCs w:val="20"/>
                    </w:rPr>
                    <w:t>内分泌干扰物</w:t>
                  </w:r>
                </w:p>
              </w:tc>
              <w:tc>
                <w:tcPr>
                  <w:tcW w:w="850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bCs/>
                      <w:kern w:val="0"/>
                      <w:sz w:val="18"/>
                      <w:szCs w:val="20"/>
                    </w:rPr>
                    <w:t xml:space="preserve"> </w:t>
                  </w:r>
                </w:p>
              </w:tc>
              <w:tc>
                <w:tcPr>
                  <w:tcW w:w="5311" w:type="dxa"/>
                  <w:noWrap w:val="0"/>
                  <w:vAlign w:val="center"/>
                </w:tcPr>
                <w:p>
                  <w:pPr>
                    <w:spacing w:after="0" w:line="240" w:lineRule="exact"/>
                    <w:jc w:val="left"/>
                    <w:rPr>
                      <w:rFonts w:ascii="Arial" w:hAnsi="Arial" w:eastAsia="微软雅黑"/>
                      <w:sz w:val="18"/>
                      <w:szCs w:val="18"/>
                    </w:rPr>
                  </w:pPr>
                  <w:r>
                    <w:rPr>
                      <w:rFonts w:ascii="Arial" w:hAnsi="Arial" w:eastAsia="微软雅黑"/>
                      <w:kern w:val="0"/>
                      <w:sz w:val="18"/>
                      <w:szCs w:val="20"/>
                    </w:rPr>
                    <w:t xml:space="preserve"> </w:t>
                  </w:r>
                </w:p>
              </w:tc>
            </w:tr>
          </w:tbl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  <w:p>
            <w:pPr>
              <w:spacing w:after="0" w:line="100" w:lineRule="exact"/>
              <w:rPr>
                <w:rFonts w:ascii="Arial" w:hAnsi="Arial" w:eastAsia="微软雅黑"/>
              </w:rPr>
            </w:pPr>
          </w:p>
        </w:tc>
      </w:tr>
      <w:tr>
        <w:trPr>
          <w:gridAfter w:val="1"/>
          <w:wAfter w:w="336" w:type="dxa"/>
          <w:trHeight w:val="396" w:hRule="atLeast"/>
          <w:jc w:val="center"/>
        </w:trPr>
        <w:tc>
          <w:tcPr>
            <w:tcW w:w="10141" w:type="dxa"/>
            <w:gridSpan w:val="8"/>
            <w:tcBorders>
              <w:top w:val="single" w:color="FFFFFF" w:sz="2" w:space="0"/>
              <w:bottom w:val="single" w:color="FFFFFF" w:sz="2" w:space="0"/>
            </w:tcBorders>
            <w:noWrap w:val="0"/>
            <w:vAlign w:val="bottom"/>
          </w:tcPr>
          <w:p>
            <w:pPr>
              <w:spacing w:after="62" w:afterLines="20" w:line="280" w:lineRule="exact"/>
              <w:jc w:val="left"/>
              <w:rPr>
                <w:rFonts w:ascii="Arial" w:hAnsi="Arial" w:eastAsia="微软雅黑"/>
              </w:rPr>
            </w:pPr>
            <w:r>
              <w:rPr>
                <w:rFonts w:ascii="Arial" w:hAnsi="Arial" w:eastAsia="微软雅黑"/>
                <w:b/>
                <w:color w:val="CC3300"/>
                <w:sz w:val="24"/>
              </w:rPr>
              <w:t>|</w:t>
            </w:r>
            <w:r>
              <w:rPr>
                <w:rFonts w:hint="eastAsia" w:ascii="Arial" w:hAnsi="Arial" w:eastAsia="微软雅黑"/>
                <w:b/>
                <w:color w:val="0D0D0D"/>
                <w:sz w:val="22"/>
              </w:rPr>
              <w:t xml:space="preserve"> 免责声明</w:t>
            </w:r>
          </w:p>
        </w:tc>
      </w:tr>
    </w:tbl>
    <w:p>
      <w:pPr>
        <w:spacing w:after="0" w:line="240" w:lineRule="exact"/>
        <w:ind w:left="168" w:leftChars="80" w:right="168" w:rightChars="80"/>
        <w:rPr>
          <w:rFonts w:ascii="Arial" w:hAnsi="Arial" w:eastAsia="微软雅黑" w:cs="Arial"/>
        </w:rPr>
      </w:pPr>
      <w:r>
        <w:rPr>
          <w:rFonts w:hint="eastAsia" w:ascii="Arial" w:hAnsi="Arial" w:eastAsia="微软雅黑"/>
          <w:sz w:val="20"/>
        </w:rPr>
        <w:t>{{第16部分 其他信息.免责声明}}</w:t>
      </w:r>
    </w:p>
    <w:sectPr>
      <w:headerReference r:id="rId5" w:type="first"/>
      <w:footerReference r:id="rId7" w:type="first"/>
      <w:headerReference r:id="rId4" w:type="default"/>
      <w:footerReference r:id="rId6" w:type="default"/>
      <w:pgSz w:w="11906" w:h="16838"/>
      <w:pgMar w:top="720" w:right="720" w:bottom="720" w:left="720" w:header="567" w:footer="284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00"/>
    <w:family w:val="auto"/>
    <w:pitch w:val="default"/>
    <w:sig w:usb0="A00002BF" w:usb1="38CF7CFA" w:usb2="00000016" w:usb3="00000000" w:csb0="0004000F" w:csb1="00000000"/>
  </w:font>
  <w:font w:name="微软雅黑">
    <w:altName w:val="汉仪旗黑"/>
    <w:panose1 w:val="020B0503020204020204"/>
    <w:charset w:val="00"/>
    <w:family w:val="swiss"/>
    <w:pitch w:val="default"/>
    <w:sig w:usb0="80000287" w:usb1="2ACF3C50" w:usb2="00000016" w:usb3="00000000" w:csb0="0004001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right"/>
      <w:rPr>
        <w:sz w:val="22"/>
      </w:rPr>
    </w:pPr>
    <w:r>
      <w:rPr>
        <w:sz w:val="22"/>
        <w:lang w:val="zh-CN"/>
      </w:rPr>
      <w:t xml:space="preserve"> </w:t>
    </w:r>
    <w:r>
      <w:rPr>
        <w:b/>
        <w:bCs/>
        <w:sz w:val="36"/>
        <w:szCs w:val="24"/>
      </w:rPr>
      <w:fldChar w:fldCharType="begin"/>
    </w:r>
    <w:r>
      <w:rPr>
        <w:b/>
        <w:bCs/>
        <w:sz w:val="22"/>
      </w:rPr>
      <w:instrText xml:space="preserve">PAGE</w:instrText>
    </w:r>
    <w:r>
      <w:rPr>
        <w:b/>
        <w:bCs/>
        <w:sz w:val="36"/>
        <w:szCs w:val="24"/>
      </w:rPr>
      <w:fldChar w:fldCharType="separate"/>
    </w:r>
    <w:r>
      <w:rPr>
        <w:b/>
        <w:bCs/>
        <w:sz w:val="22"/>
        <w:lang/>
      </w:rPr>
      <w:t>11</w:t>
    </w:r>
    <w:r>
      <w:rPr>
        <w:b/>
        <w:bCs/>
        <w:sz w:val="36"/>
        <w:szCs w:val="24"/>
      </w:rPr>
      <w:fldChar w:fldCharType="end"/>
    </w:r>
    <w:r>
      <w:rPr>
        <w:sz w:val="22"/>
        <w:lang w:val="zh-CN"/>
      </w:rPr>
      <w:t xml:space="preserve"> / </w:t>
    </w:r>
    <w:r>
      <w:rPr>
        <w:b/>
        <w:bCs/>
        <w:sz w:val="36"/>
        <w:szCs w:val="24"/>
      </w:rPr>
      <w:fldChar w:fldCharType="begin"/>
    </w:r>
    <w:r>
      <w:rPr>
        <w:b/>
        <w:bCs/>
        <w:sz w:val="22"/>
      </w:rPr>
      <w:instrText xml:space="preserve">NUMPAGES</w:instrText>
    </w:r>
    <w:r>
      <w:rPr>
        <w:b/>
        <w:bCs/>
        <w:sz w:val="36"/>
        <w:szCs w:val="24"/>
      </w:rPr>
      <w:fldChar w:fldCharType="separate"/>
    </w:r>
    <w:r>
      <w:rPr>
        <w:b/>
        <w:bCs/>
        <w:sz w:val="22"/>
        <w:lang/>
      </w:rPr>
      <w:t>11</w:t>
    </w:r>
    <w:r>
      <w:rPr>
        <w:b/>
        <w:bCs/>
        <w:sz w:val="36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right"/>
    </w:pPr>
    <w:r>
      <w:rPr>
        <w:lang w:val="zh-CN"/>
      </w:rPr>
      <w:t xml:space="preserve"> </w:t>
    </w:r>
    <w:r>
      <w:rPr>
        <w:b/>
        <w:bCs/>
        <w:sz w:val="32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32"/>
        <w:szCs w:val="24"/>
      </w:rPr>
      <w:fldChar w:fldCharType="separate"/>
    </w:r>
    <w:r>
      <w:rPr>
        <w:b/>
        <w:bCs/>
        <w:lang/>
      </w:rPr>
      <w:t>1</w:t>
    </w:r>
    <w:r>
      <w:rPr>
        <w:b/>
        <w:bCs/>
        <w:sz w:val="32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32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32"/>
        <w:szCs w:val="24"/>
      </w:rPr>
      <w:fldChar w:fldCharType="separate"/>
    </w:r>
    <w:r>
      <w:rPr>
        <w:b/>
        <w:bCs/>
        <w:lang/>
      </w:rPr>
      <w:t>11</w:t>
    </w:r>
    <w:r>
      <w:rPr>
        <w:b/>
        <w:bCs/>
        <w:sz w:val="32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7054"/>
      <w:gridCol w:w="3628"/>
    </w:tblGrid>
    <w:tr>
      <w:trPr>
        <w:wBefore w:w="0" w:type="dxa"/>
      </w:trPr>
      <w:tc>
        <w:tcPr>
          <w:tcW w:w="7054" w:type="dxa"/>
          <w:noWrap w:val="0"/>
          <w:vAlign w:val="top"/>
        </w:tcPr>
        <w:p>
          <w:pPr>
            <w:pStyle w:val="5"/>
            <w:pBdr>
              <w:bottom w:val="none" w:color="auto" w:sz="0" w:space="0"/>
            </w:pBdr>
            <w:tabs>
              <w:tab w:val="left" w:pos="2055"/>
              <w:tab w:val="right" w:pos="10466"/>
              <w:tab w:val="clear" w:pos="4153"/>
              <w:tab w:val="clear" w:pos="8306"/>
            </w:tabs>
            <w:jc w:val="left"/>
            <w:rPr>
              <w:rFonts w:ascii="微软雅黑" w:hAnsi="微软雅黑" w:eastAsia="微软雅黑"/>
              <w:sz w:val="22"/>
            </w:rPr>
          </w:pPr>
          <w:r>
            <w:rPr>
              <w:rFonts w:ascii="微软雅黑" w:hAnsi="微软雅黑" w:eastAsia="微软雅黑"/>
              <w:color w:val="000000"/>
            </w:rPr>
            <w:t>MEP 3</w:t>
          </w:r>
          <w:r>
            <w:rPr>
              <w:rFonts w:hint="eastAsia" w:ascii="微软雅黑" w:hAnsi="微软雅黑" w:eastAsia="微软雅黑"/>
              <w:color w:val="000000"/>
            </w:rPr>
            <w:t>3</w:t>
          </w:r>
          <w:r>
            <w:rPr>
              <w:rFonts w:ascii="微软雅黑" w:hAnsi="微软雅黑" w:eastAsia="微软雅黑"/>
              <w:color w:val="000000"/>
            </w:rPr>
            <w:t>40</w:t>
          </w:r>
        </w:p>
      </w:tc>
      <w:tc>
        <w:tcPr>
          <w:tcW w:w="3628" w:type="dxa"/>
          <w:noWrap w:val="0"/>
          <w:vAlign w:val="bottom"/>
        </w:tcPr>
        <w:p>
          <w:pPr>
            <w:pStyle w:val="5"/>
            <w:pBdr>
              <w:bottom w:val="none" w:color="auto" w:sz="0" w:space="0"/>
            </w:pBdr>
            <w:tabs>
              <w:tab w:val="left" w:pos="2055"/>
              <w:tab w:val="right" w:pos="10466"/>
              <w:tab w:val="clear" w:pos="4153"/>
              <w:tab w:val="clear" w:pos="8306"/>
            </w:tabs>
            <w:jc w:val="right"/>
            <w:rPr>
              <w:rFonts w:ascii="微软雅黑" w:hAnsi="微软雅黑" w:eastAsia="微软雅黑"/>
              <w:sz w:val="22"/>
            </w:rPr>
          </w:pPr>
          <w:r>
            <w:rPr>
              <w:rFonts w:hint="eastAsia" w:ascii="微软雅黑" w:hAnsi="微软雅黑" w:eastAsia="微软雅黑"/>
              <w:color w:val="000000"/>
            </w:rPr>
            <w:t>版本号：V2.0.0.1修订日期：202</w:t>
          </w:r>
          <w:r>
            <w:rPr>
              <w:rFonts w:ascii="微软雅黑" w:hAnsi="微软雅黑" w:eastAsia="微软雅黑"/>
              <w:color w:val="000000"/>
            </w:rPr>
            <w:t>6</w:t>
          </w:r>
          <w:r>
            <w:rPr>
              <w:rFonts w:hint="eastAsia" w:ascii="微软雅黑" w:hAnsi="微软雅黑" w:eastAsia="微软雅黑"/>
              <w:color w:val="000000"/>
            </w:rPr>
            <w:t>/</w:t>
          </w:r>
          <w:r>
            <w:rPr>
              <w:rFonts w:ascii="微软雅黑" w:hAnsi="微软雅黑" w:eastAsia="微软雅黑"/>
              <w:color w:val="000000"/>
            </w:rPr>
            <w:t>04</w:t>
          </w:r>
          <w:r>
            <w:rPr>
              <w:rFonts w:hint="eastAsia" w:ascii="微软雅黑" w:hAnsi="微软雅黑" w:eastAsia="微软雅黑"/>
              <w:color w:val="000000"/>
            </w:rPr>
            <w:t>/</w:t>
          </w:r>
          <w:r>
            <w:rPr>
              <w:rFonts w:ascii="微软雅黑" w:hAnsi="微软雅黑" w:eastAsia="微软雅黑"/>
              <w:color w:val="000000"/>
            </w:rPr>
            <w:t>21</w:t>
          </w:r>
        </w:p>
      </w:tc>
    </w:tr>
  </w:tbl>
  <w:p>
    <w:pPr>
      <w:pStyle w:val="5"/>
      <w:pBdr>
        <w:bottom w:val="single" w:color="auto" w:sz="6" w:space="0"/>
      </w:pBdr>
      <w:tabs>
        <w:tab w:val="left" w:pos="1635"/>
        <w:tab w:val="clear" w:pos="4153"/>
        <w:tab w:val="clear" w:pos="8306"/>
      </w:tabs>
      <w:spacing w:line="20" w:lineRule="exact"/>
      <w:jc w:val="left"/>
      <w:rPr>
        <w:rFonts w:ascii="微软雅黑" w:hAnsi="微软雅黑" w:eastAsia="微软雅黑"/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wordWrap w:val="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5D174EF"/>
    <w:multiLevelType w:val="multilevel"/>
    <w:tmpl w:val="55D174EF"/>
    <w:lvl w:ilvl="0" w:tentative="0">
      <w:start w:val="1"/>
      <w:numFmt w:val="bullet"/>
      <w:lvlText w:val=""/>
      <w:lvlJc w:val="left"/>
      <w:pPr>
        <w:ind w:left="420" w:hanging="420"/>
      </w:pPr>
      <w:rPr>
        <w:rFonts w:hint="default" w:ascii="Wingdings" w:hAnsi="Wingdings"/>
        <w:color w:val="CC3300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1"/>
  <w:bordersDoNotSurroundFooter w:val="1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1B4E"/>
    <w:rsid w:val="0000470F"/>
    <w:rsid w:val="00004725"/>
    <w:rsid w:val="00010B11"/>
    <w:rsid w:val="000113A0"/>
    <w:rsid w:val="0001155F"/>
    <w:rsid w:val="00011A34"/>
    <w:rsid w:val="00014132"/>
    <w:rsid w:val="00021AF7"/>
    <w:rsid w:val="000251C7"/>
    <w:rsid w:val="0003094A"/>
    <w:rsid w:val="00032650"/>
    <w:rsid w:val="0003396A"/>
    <w:rsid w:val="0003499E"/>
    <w:rsid w:val="00041BD9"/>
    <w:rsid w:val="0004568D"/>
    <w:rsid w:val="0005572A"/>
    <w:rsid w:val="000612BF"/>
    <w:rsid w:val="00063358"/>
    <w:rsid w:val="0006447E"/>
    <w:rsid w:val="0006486D"/>
    <w:rsid w:val="0006534B"/>
    <w:rsid w:val="000655E4"/>
    <w:rsid w:val="00065BF1"/>
    <w:rsid w:val="00072B00"/>
    <w:rsid w:val="00077A31"/>
    <w:rsid w:val="00083A70"/>
    <w:rsid w:val="000909A1"/>
    <w:rsid w:val="00090DA7"/>
    <w:rsid w:val="00090E92"/>
    <w:rsid w:val="00092BB5"/>
    <w:rsid w:val="000952A8"/>
    <w:rsid w:val="000974B8"/>
    <w:rsid w:val="000A0696"/>
    <w:rsid w:val="000A15CC"/>
    <w:rsid w:val="000A3283"/>
    <w:rsid w:val="000B7162"/>
    <w:rsid w:val="000C26A0"/>
    <w:rsid w:val="000F1A5C"/>
    <w:rsid w:val="000F2FD6"/>
    <w:rsid w:val="000F5328"/>
    <w:rsid w:val="000F572B"/>
    <w:rsid w:val="0010485A"/>
    <w:rsid w:val="001051DD"/>
    <w:rsid w:val="001076F2"/>
    <w:rsid w:val="0010782F"/>
    <w:rsid w:val="00113194"/>
    <w:rsid w:val="00113C43"/>
    <w:rsid w:val="00113FEA"/>
    <w:rsid w:val="001176A5"/>
    <w:rsid w:val="00124618"/>
    <w:rsid w:val="00124819"/>
    <w:rsid w:val="00126600"/>
    <w:rsid w:val="001270B4"/>
    <w:rsid w:val="00127C28"/>
    <w:rsid w:val="0013014B"/>
    <w:rsid w:val="00130F1C"/>
    <w:rsid w:val="00136785"/>
    <w:rsid w:val="00151550"/>
    <w:rsid w:val="00152D07"/>
    <w:rsid w:val="00153F86"/>
    <w:rsid w:val="0015587A"/>
    <w:rsid w:val="00156527"/>
    <w:rsid w:val="00160137"/>
    <w:rsid w:val="0016159D"/>
    <w:rsid w:val="00170AF1"/>
    <w:rsid w:val="001752FE"/>
    <w:rsid w:val="00182BD5"/>
    <w:rsid w:val="001854FF"/>
    <w:rsid w:val="001879A2"/>
    <w:rsid w:val="001928ED"/>
    <w:rsid w:val="00193762"/>
    <w:rsid w:val="00193827"/>
    <w:rsid w:val="00193E09"/>
    <w:rsid w:val="001950D2"/>
    <w:rsid w:val="00197C9B"/>
    <w:rsid w:val="00197ECE"/>
    <w:rsid w:val="001A2AD7"/>
    <w:rsid w:val="001A34E1"/>
    <w:rsid w:val="001A39DA"/>
    <w:rsid w:val="001A6716"/>
    <w:rsid w:val="001B5B13"/>
    <w:rsid w:val="001C0B0B"/>
    <w:rsid w:val="001D1064"/>
    <w:rsid w:val="001D2D54"/>
    <w:rsid w:val="001D6486"/>
    <w:rsid w:val="001D648E"/>
    <w:rsid w:val="001D6C17"/>
    <w:rsid w:val="001E0BFA"/>
    <w:rsid w:val="001E0F3F"/>
    <w:rsid w:val="001E2726"/>
    <w:rsid w:val="001E3FFB"/>
    <w:rsid w:val="001E44EB"/>
    <w:rsid w:val="001E54EB"/>
    <w:rsid w:val="001E5AEC"/>
    <w:rsid w:val="001F00C0"/>
    <w:rsid w:val="001F74CA"/>
    <w:rsid w:val="00200B85"/>
    <w:rsid w:val="00203116"/>
    <w:rsid w:val="00203E32"/>
    <w:rsid w:val="00203F6D"/>
    <w:rsid w:val="00204FCF"/>
    <w:rsid w:val="0020689D"/>
    <w:rsid w:val="00210E70"/>
    <w:rsid w:val="00212D02"/>
    <w:rsid w:val="00214E0C"/>
    <w:rsid w:val="00216465"/>
    <w:rsid w:val="00226713"/>
    <w:rsid w:val="00227863"/>
    <w:rsid w:val="00230786"/>
    <w:rsid w:val="002363B3"/>
    <w:rsid w:val="00237042"/>
    <w:rsid w:val="00251674"/>
    <w:rsid w:val="00262187"/>
    <w:rsid w:val="00264F25"/>
    <w:rsid w:val="00276855"/>
    <w:rsid w:val="00277E6B"/>
    <w:rsid w:val="00282121"/>
    <w:rsid w:val="00283AA0"/>
    <w:rsid w:val="00293FDF"/>
    <w:rsid w:val="002A0C56"/>
    <w:rsid w:val="002A202C"/>
    <w:rsid w:val="002A20AE"/>
    <w:rsid w:val="002A3593"/>
    <w:rsid w:val="002A48FA"/>
    <w:rsid w:val="002A6BBA"/>
    <w:rsid w:val="002A71F6"/>
    <w:rsid w:val="002B43E3"/>
    <w:rsid w:val="002B6B8F"/>
    <w:rsid w:val="002C0CC9"/>
    <w:rsid w:val="002C159F"/>
    <w:rsid w:val="002C5799"/>
    <w:rsid w:val="002C602B"/>
    <w:rsid w:val="002D0623"/>
    <w:rsid w:val="002D4437"/>
    <w:rsid w:val="002D64AE"/>
    <w:rsid w:val="002D6DFA"/>
    <w:rsid w:val="002D7893"/>
    <w:rsid w:val="002E4CBC"/>
    <w:rsid w:val="002E4D50"/>
    <w:rsid w:val="002E4FEE"/>
    <w:rsid w:val="002E5794"/>
    <w:rsid w:val="002E61F3"/>
    <w:rsid w:val="002E7B4E"/>
    <w:rsid w:val="002F0389"/>
    <w:rsid w:val="002F49E3"/>
    <w:rsid w:val="002F52BA"/>
    <w:rsid w:val="00303F2B"/>
    <w:rsid w:val="00305A4D"/>
    <w:rsid w:val="00312DB4"/>
    <w:rsid w:val="0031637D"/>
    <w:rsid w:val="003166C5"/>
    <w:rsid w:val="003230DB"/>
    <w:rsid w:val="003234F5"/>
    <w:rsid w:val="00325FAC"/>
    <w:rsid w:val="00330747"/>
    <w:rsid w:val="00332A60"/>
    <w:rsid w:val="00333373"/>
    <w:rsid w:val="0033513D"/>
    <w:rsid w:val="00337A98"/>
    <w:rsid w:val="00341612"/>
    <w:rsid w:val="003518A7"/>
    <w:rsid w:val="00351B5D"/>
    <w:rsid w:val="00352269"/>
    <w:rsid w:val="00356F08"/>
    <w:rsid w:val="00357FFD"/>
    <w:rsid w:val="00375BEA"/>
    <w:rsid w:val="003802EA"/>
    <w:rsid w:val="00382F7C"/>
    <w:rsid w:val="00384D55"/>
    <w:rsid w:val="00385D74"/>
    <w:rsid w:val="00387A44"/>
    <w:rsid w:val="00387DDC"/>
    <w:rsid w:val="003909A5"/>
    <w:rsid w:val="00391CEE"/>
    <w:rsid w:val="003933B0"/>
    <w:rsid w:val="00395F1F"/>
    <w:rsid w:val="003A0B84"/>
    <w:rsid w:val="003A34E8"/>
    <w:rsid w:val="003A57FC"/>
    <w:rsid w:val="003A6204"/>
    <w:rsid w:val="003A6CB7"/>
    <w:rsid w:val="003A6EC6"/>
    <w:rsid w:val="003B0FEE"/>
    <w:rsid w:val="003B17D7"/>
    <w:rsid w:val="003B65A7"/>
    <w:rsid w:val="003C520F"/>
    <w:rsid w:val="003D27D5"/>
    <w:rsid w:val="003D54A2"/>
    <w:rsid w:val="003D583E"/>
    <w:rsid w:val="003E09FA"/>
    <w:rsid w:val="003E3CAA"/>
    <w:rsid w:val="003E4373"/>
    <w:rsid w:val="003E48D2"/>
    <w:rsid w:val="003E5048"/>
    <w:rsid w:val="003E58F7"/>
    <w:rsid w:val="003F2BDB"/>
    <w:rsid w:val="003F45EE"/>
    <w:rsid w:val="003F4CC7"/>
    <w:rsid w:val="003F4FEB"/>
    <w:rsid w:val="004018C8"/>
    <w:rsid w:val="004035A8"/>
    <w:rsid w:val="00407E4B"/>
    <w:rsid w:val="00410117"/>
    <w:rsid w:val="00411660"/>
    <w:rsid w:val="004125CA"/>
    <w:rsid w:val="00420BCD"/>
    <w:rsid w:val="00424138"/>
    <w:rsid w:val="00424479"/>
    <w:rsid w:val="00424A80"/>
    <w:rsid w:val="004309C5"/>
    <w:rsid w:val="004368C4"/>
    <w:rsid w:val="00437B5A"/>
    <w:rsid w:val="00442D0C"/>
    <w:rsid w:val="00442EB9"/>
    <w:rsid w:val="00444870"/>
    <w:rsid w:val="00451B97"/>
    <w:rsid w:val="00460CD0"/>
    <w:rsid w:val="00460ECE"/>
    <w:rsid w:val="004617A6"/>
    <w:rsid w:val="00462C4F"/>
    <w:rsid w:val="004655D1"/>
    <w:rsid w:val="00467536"/>
    <w:rsid w:val="004709BC"/>
    <w:rsid w:val="00470E89"/>
    <w:rsid w:val="00480D27"/>
    <w:rsid w:val="00480E4A"/>
    <w:rsid w:val="00482E46"/>
    <w:rsid w:val="004834D2"/>
    <w:rsid w:val="004857F5"/>
    <w:rsid w:val="004879D2"/>
    <w:rsid w:val="0049181E"/>
    <w:rsid w:val="0049302B"/>
    <w:rsid w:val="00493D11"/>
    <w:rsid w:val="004A02D0"/>
    <w:rsid w:val="004B3854"/>
    <w:rsid w:val="004B4263"/>
    <w:rsid w:val="004B5938"/>
    <w:rsid w:val="004B5F5B"/>
    <w:rsid w:val="004B6522"/>
    <w:rsid w:val="004C1760"/>
    <w:rsid w:val="004C42E6"/>
    <w:rsid w:val="004C55BA"/>
    <w:rsid w:val="004C6CC0"/>
    <w:rsid w:val="004D6548"/>
    <w:rsid w:val="004E0361"/>
    <w:rsid w:val="004E1265"/>
    <w:rsid w:val="004E5376"/>
    <w:rsid w:val="004E671A"/>
    <w:rsid w:val="004F3EBC"/>
    <w:rsid w:val="004F6B5A"/>
    <w:rsid w:val="00503CF1"/>
    <w:rsid w:val="00505813"/>
    <w:rsid w:val="0050698E"/>
    <w:rsid w:val="005146F5"/>
    <w:rsid w:val="00516573"/>
    <w:rsid w:val="005206C6"/>
    <w:rsid w:val="005257C7"/>
    <w:rsid w:val="005351DC"/>
    <w:rsid w:val="005368E9"/>
    <w:rsid w:val="0054069B"/>
    <w:rsid w:val="00541EA9"/>
    <w:rsid w:val="00544C81"/>
    <w:rsid w:val="00546180"/>
    <w:rsid w:val="00546CB6"/>
    <w:rsid w:val="00561BBA"/>
    <w:rsid w:val="00562B4E"/>
    <w:rsid w:val="005676BD"/>
    <w:rsid w:val="005712C5"/>
    <w:rsid w:val="00571C45"/>
    <w:rsid w:val="00574131"/>
    <w:rsid w:val="00574700"/>
    <w:rsid w:val="00577983"/>
    <w:rsid w:val="00582F6A"/>
    <w:rsid w:val="005867E6"/>
    <w:rsid w:val="00586DFC"/>
    <w:rsid w:val="00590E15"/>
    <w:rsid w:val="00593856"/>
    <w:rsid w:val="00594333"/>
    <w:rsid w:val="00594AC8"/>
    <w:rsid w:val="00595DB0"/>
    <w:rsid w:val="00597F9C"/>
    <w:rsid w:val="005A3F34"/>
    <w:rsid w:val="005A7C61"/>
    <w:rsid w:val="005B0B58"/>
    <w:rsid w:val="005B0E08"/>
    <w:rsid w:val="005B10E7"/>
    <w:rsid w:val="005B3D11"/>
    <w:rsid w:val="005B4F74"/>
    <w:rsid w:val="005C095A"/>
    <w:rsid w:val="005D05CF"/>
    <w:rsid w:val="005D2CEB"/>
    <w:rsid w:val="005D383B"/>
    <w:rsid w:val="005D718C"/>
    <w:rsid w:val="005F18C6"/>
    <w:rsid w:val="005F5A0A"/>
    <w:rsid w:val="005F7BBF"/>
    <w:rsid w:val="0060079D"/>
    <w:rsid w:val="006063B2"/>
    <w:rsid w:val="00610A95"/>
    <w:rsid w:val="00611B13"/>
    <w:rsid w:val="00617A1D"/>
    <w:rsid w:val="00620AD7"/>
    <w:rsid w:val="00636EB1"/>
    <w:rsid w:val="00637944"/>
    <w:rsid w:val="006411FC"/>
    <w:rsid w:val="00643036"/>
    <w:rsid w:val="006512EE"/>
    <w:rsid w:val="0065166D"/>
    <w:rsid w:val="00656455"/>
    <w:rsid w:val="00656979"/>
    <w:rsid w:val="00656D32"/>
    <w:rsid w:val="00661A74"/>
    <w:rsid w:val="006622FA"/>
    <w:rsid w:val="006639C7"/>
    <w:rsid w:val="00663ACE"/>
    <w:rsid w:val="00663E8B"/>
    <w:rsid w:val="0067047B"/>
    <w:rsid w:val="006739D5"/>
    <w:rsid w:val="00675B72"/>
    <w:rsid w:val="00676440"/>
    <w:rsid w:val="006770F5"/>
    <w:rsid w:val="0067762F"/>
    <w:rsid w:val="00677A68"/>
    <w:rsid w:val="00682685"/>
    <w:rsid w:val="006826C3"/>
    <w:rsid w:val="00684B7C"/>
    <w:rsid w:val="00684C56"/>
    <w:rsid w:val="00684D53"/>
    <w:rsid w:val="00685C2D"/>
    <w:rsid w:val="00686C8A"/>
    <w:rsid w:val="00690ECF"/>
    <w:rsid w:val="006A0E02"/>
    <w:rsid w:val="006A156A"/>
    <w:rsid w:val="006A5769"/>
    <w:rsid w:val="006B2F36"/>
    <w:rsid w:val="006C739E"/>
    <w:rsid w:val="006D23D0"/>
    <w:rsid w:val="006D3ED6"/>
    <w:rsid w:val="006D45E4"/>
    <w:rsid w:val="006D5858"/>
    <w:rsid w:val="006E1148"/>
    <w:rsid w:val="006E5130"/>
    <w:rsid w:val="006F27E7"/>
    <w:rsid w:val="006F28B2"/>
    <w:rsid w:val="006F620B"/>
    <w:rsid w:val="0070481F"/>
    <w:rsid w:val="0070733C"/>
    <w:rsid w:val="00710ADB"/>
    <w:rsid w:val="007138A6"/>
    <w:rsid w:val="0072120D"/>
    <w:rsid w:val="007213B7"/>
    <w:rsid w:val="00731A8C"/>
    <w:rsid w:val="0073216E"/>
    <w:rsid w:val="007325C4"/>
    <w:rsid w:val="00732D5F"/>
    <w:rsid w:val="00733556"/>
    <w:rsid w:val="00733932"/>
    <w:rsid w:val="0073500C"/>
    <w:rsid w:val="0073574E"/>
    <w:rsid w:val="00736497"/>
    <w:rsid w:val="0073732E"/>
    <w:rsid w:val="00737BB2"/>
    <w:rsid w:val="00744E96"/>
    <w:rsid w:val="00745229"/>
    <w:rsid w:val="00750009"/>
    <w:rsid w:val="00752F79"/>
    <w:rsid w:val="007553E2"/>
    <w:rsid w:val="007557BB"/>
    <w:rsid w:val="0076034B"/>
    <w:rsid w:val="00760773"/>
    <w:rsid w:val="0076209C"/>
    <w:rsid w:val="00773B5C"/>
    <w:rsid w:val="00774DF7"/>
    <w:rsid w:val="00776CA7"/>
    <w:rsid w:val="00781319"/>
    <w:rsid w:val="00781457"/>
    <w:rsid w:val="00781B41"/>
    <w:rsid w:val="007829BB"/>
    <w:rsid w:val="00782FB0"/>
    <w:rsid w:val="00790922"/>
    <w:rsid w:val="007A1A94"/>
    <w:rsid w:val="007A73E0"/>
    <w:rsid w:val="007A7C56"/>
    <w:rsid w:val="007B4AA6"/>
    <w:rsid w:val="007B7FE9"/>
    <w:rsid w:val="007C33C4"/>
    <w:rsid w:val="007D0AF5"/>
    <w:rsid w:val="007D2CFC"/>
    <w:rsid w:val="007D5573"/>
    <w:rsid w:val="007D631B"/>
    <w:rsid w:val="007E434C"/>
    <w:rsid w:val="007F10DA"/>
    <w:rsid w:val="007F5925"/>
    <w:rsid w:val="007F61FC"/>
    <w:rsid w:val="00801795"/>
    <w:rsid w:val="00804521"/>
    <w:rsid w:val="008068C2"/>
    <w:rsid w:val="00814902"/>
    <w:rsid w:val="00817149"/>
    <w:rsid w:val="00820275"/>
    <w:rsid w:val="00826810"/>
    <w:rsid w:val="00827B24"/>
    <w:rsid w:val="00840A88"/>
    <w:rsid w:val="008452A9"/>
    <w:rsid w:val="0084571C"/>
    <w:rsid w:val="008473CD"/>
    <w:rsid w:val="008506EE"/>
    <w:rsid w:val="00850D37"/>
    <w:rsid w:val="008577EE"/>
    <w:rsid w:val="00857D30"/>
    <w:rsid w:val="008627C4"/>
    <w:rsid w:val="0086421E"/>
    <w:rsid w:val="00864A39"/>
    <w:rsid w:val="00873885"/>
    <w:rsid w:val="00885A52"/>
    <w:rsid w:val="008868BF"/>
    <w:rsid w:val="00891840"/>
    <w:rsid w:val="00893431"/>
    <w:rsid w:val="00893ABE"/>
    <w:rsid w:val="00893C7F"/>
    <w:rsid w:val="008A24AD"/>
    <w:rsid w:val="008B0038"/>
    <w:rsid w:val="008B5DC1"/>
    <w:rsid w:val="008B6842"/>
    <w:rsid w:val="008C030B"/>
    <w:rsid w:val="008C4394"/>
    <w:rsid w:val="008D5847"/>
    <w:rsid w:val="008D72A4"/>
    <w:rsid w:val="008D7E26"/>
    <w:rsid w:val="008E1BDD"/>
    <w:rsid w:val="008F043E"/>
    <w:rsid w:val="008F2902"/>
    <w:rsid w:val="008F3AB2"/>
    <w:rsid w:val="008F408D"/>
    <w:rsid w:val="008F529B"/>
    <w:rsid w:val="008F74BE"/>
    <w:rsid w:val="00901BEE"/>
    <w:rsid w:val="00903458"/>
    <w:rsid w:val="009050F4"/>
    <w:rsid w:val="00910189"/>
    <w:rsid w:val="00912950"/>
    <w:rsid w:val="00913C77"/>
    <w:rsid w:val="00915812"/>
    <w:rsid w:val="009202BB"/>
    <w:rsid w:val="00925BB7"/>
    <w:rsid w:val="00927640"/>
    <w:rsid w:val="00930114"/>
    <w:rsid w:val="00930A96"/>
    <w:rsid w:val="00934471"/>
    <w:rsid w:val="009345FB"/>
    <w:rsid w:val="009351AD"/>
    <w:rsid w:val="00946B6A"/>
    <w:rsid w:val="00951573"/>
    <w:rsid w:val="00952B6C"/>
    <w:rsid w:val="009557A7"/>
    <w:rsid w:val="00957CE1"/>
    <w:rsid w:val="00966082"/>
    <w:rsid w:val="00972DD5"/>
    <w:rsid w:val="00982CAA"/>
    <w:rsid w:val="009850E3"/>
    <w:rsid w:val="00991181"/>
    <w:rsid w:val="00991528"/>
    <w:rsid w:val="009931B1"/>
    <w:rsid w:val="009A05D0"/>
    <w:rsid w:val="009A15E5"/>
    <w:rsid w:val="009A4816"/>
    <w:rsid w:val="009A5900"/>
    <w:rsid w:val="009A6228"/>
    <w:rsid w:val="009B5499"/>
    <w:rsid w:val="009B6917"/>
    <w:rsid w:val="009B7804"/>
    <w:rsid w:val="009B7CBA"/>
    <w:rsid w:val="009C0F13"/>
    <w:rsid w:val="009C1FDE"/>
    <w:rsid w:val="009C39C1"/>
    <w:rsid w:val="009C4A70"/>
    <w:rsid w:val="009D5AD4"/>
    <w:rsid w:val="009D7BD2"/>
    <w:rsid w:val="009E496E"/>
    <w:rsid w:val="009F0562"/>
    <w:rsid w:val="009F2948"/>
    <w:rsid w:val="009F3457"/>
    <w:rsid w:val="009F4AD9"/>
    <w:rsid w:val="009F7AAA"/>
    <w:rsid w:val="009F7E62"/>
    <w:rsid w:val="009F7EDC"/>
    <w:rsid w:val="00A016F8"/>
    <w:rsid w:val="00A01CB3"/>
    <w:rsid w:val="00A06023"/>
    <w:rsid w:val="00A06BC4"/>
    <w:rsid w:val="00A11334"/>
    <w:rsid w:val="00A120AD"/>
    <w:rsid w:val="00A15551"/>
    <w:rsid w:val="00A20D13"/>
    <w:rsid w:val="00A23A58"/>
    <w:rsid w:val="00A30E48"/>
    <w:rsid w:val="00A32D60"/>
    <w:rsid w:val="00A337FF"/>
    <w:rsid w:val="00A42F36"/>
    <w:rsid w:val="00A45EB5"/>
    <w:rsid w:val="00A47279"/>
    <w:rsid w:val="00A5087A"/>
    <w:rsid w:val="00A536FD"/>
    <w:rsid w:val="00A61DF6"/>
    <w:rsid w:val="00A65809"/>
    <w:rsid w:val="00A67687"/>
    <w:rsid w:val="00A715D2"/>
    <w:rsid w:val="00A73169"/>
    <w:rsid w:val="00A74755"/>
    <w:rsid w:val="00A7790C"/>
    <w:rsid w:val="00A8028E"/>
    <w:rsid w:val="00A814F5"/>
    <w:rsid w:val="00A82ABB"/>
    <w:rsid w:val="00A9213E"/>
    <w:rsid w:val="00AA248C"/>
    <w:rsid w:val="00AA2808"/>
    <w:rsid w:val="00AA2910"/>
    <w:rsid w:val="00AA494A"/>
    <w:rsid w:val="00AA71B2"/>
    <w:rsid w:val="00AA79E0"/>
    <w:rsid w:val="00AA7FB7"/>
    <w:rsid w:val="00AB01D2"/>
    <w:rsid w:val="00AB0BE0"/>
    <w:rsid w:val="00AB190F"/>
    <w:rsid w:val="00AB2F4E"/>
    <w:rsid w:val="00AB78C2"/>
    <w:rsid w:val="00AC026A"/>
    <w:rsid w:val="00AC27B1"/>
    <w:rsid w:val="00AC2C5E"/>
    <w:rsid w:val="00AC2CA5"/>
    <w:rsid w:val="00AC36EA"/>
    <w:rsid w:val="00AC44DF"/>
    <w:rsid w:val="00AD29A0"/>
    <w:rsid w:val="00AE0D73"/>
    <w:rsid w:val="00AE144F"/>
    <w:rsid w:val="00AE5688"/>
    <w:rsid w:val="00AE6054"/>
    <w:rsid w:val="00B07C6B"/>
    <w:rsid w:val="00B11536"/>
    <w:rsid w:val="00B13C80"/>
    <w:rsid w:val="00B155D6"/>
    <w:rsid w:val="00B21D06"/>
    <w:rsid w:val="00B2306E"/>
    <w:rsid w:val="00B26469"/>
    <w:rsid w:val="00B32390"/>
    <w:rsid w:val="00B32739"/>
    <w:rsid w:val="00B36231"/>
    <w:rsid w:val="00B3762C"/>
    <w:rsid w:val="00B40209"/>
    <w:rsid w:val="00B41DC9"/>
    <w:rsid w:val="00B42567"/>
    <w:rsid w:val="00B43EB7"/>
    <w:rsid w:val="00B45FA6"/>
    <w:rsid w:val="00B477D3"/>
    <w:rsid w:val="00B52F8C"/>
    <w:rsid w:val="00B56951"/>
    <w:rsid w:val="00B571B4"/>
    <w:rsid w:val="00B70454"/>
    <w:rsid w:val="00B711C0"/>
    <w:rsid w:val="00B80EE5"/>
    <w:rsid w:val="00B8496F"/>
    <w:rsid w:val="00B87A75"/>
    <w:rsid w:val="00B90F7F"/>
    <w:rsid w:val="00B91086"/>
    <w:rsid w:val="00B96D52"/>
    <w:rsid w:val="00BA3AAA"/>
    <w:rsid w:val="00BA3D74"/>
    <w:rsid w:val="00BA7250"/>
    <w:rsid w:val="00BA794D"/>
    <w:rsid w:val="00BB1047"/>
    <w:rsid w:val="00BB2EAE"/>
    <w:rsid w:val="00BC1AA4"/>
    <w:rsid w:val="00BC27C5"/>
    <w:rsid w:val="00BC2A47"/>
    <w:rsid w:val="00BC47F9"/>
    <w:rsid w:val="00BD20FA"/>
    <w:rsid w:val="00BE1464"/>
    <w:rsid w:val="00BE4646"/>
    <w:rsid w:val="00BE5983"/>
    <w:rsid w:val="00BF0FA1"/>
    <w:rsid w:val="00BF323A"/>
    <w:rsid w:val="00BF5E7B"/>
    <w:rsid w:val="00C01267"/>
    <w:rsid w:val="00C04099"/>
    <w:rsid w:val="00C12991"/>
    <w:rsid w:val="00C12C64"/>
    <w:rsid w:val="00C13968"/>
    <w:rsid w:val="00C231CD"/>
    <w:rsid w:val="00C239C8"/>
    <w:rsid w:val="00C244D2"/>
    <w:rsid w:val="00C26E66"/>
    <w:rsid w:val="00C30FC6"/>
    <w:rsid w:val="00C32946"/>
    <w:rsid w:val="00C33B5F"/>
    <w:rsid w:val="00C44CD9"/>
    <w:rsid w:val="00C4587C"/>
    <w:rsid w:val="00C45DF6"/>
    <w:rsid w:val="00C47339"/>
    <w:rsid w:val="00C520C0"/>
    <w:rsid w:val="00C52A6D"/>
    <w:rsid w:val="00C57A46"/>
    <w:rsid w:val="00C64AF8"/>
    <w:rsid w:val="00C67B48"/>
    <w:rsid w:val="00C716DC"/>
    <w:rsid w:val="00C72B0E"/>
    <w:rsid w:val="00C75AED"/>
    <w:rsid w:val="00C77689"/>
    <w:rsid w:val="00C777FC"/>
    <w:rsid w:val="00C82666"/>
    <w:rsid w:val="00C84443"/>
    <w:rsid w:val="00C860FF"/>
    <w:rsid w:val="00C87F9D"/>
    <w:rsid w:val="00C90887"/>
    <w:rsid w:val="00CA0666"/>
    <w:rsid w:val="00CA7EC1"/>
    <w:rsid w:val="00CB0FAC"/>
    <w:rsid w:val="00CB1187"/>
    <w:rsid w:val="00CC1B4D"/>
    <w:rsid w:val="00CC2AF3"/>
    <w:rsid w:val="00CC2CDF"/>
    <w:rsid w:val="00CC6C17"/>
    <w:rsid w:val="00CD05FD"/>
    <w:rsid w:val="00CD5FC0"/>
    <w:rsid w:val="00CD73C3"/>
    <w:rsid w:val="00CE03AB"/>
    <w:rsid w:val="00CE0DA8"/>
    <w:rsid w:val="00CE39B3"/>
    <w:rsid w:val="00CE39CE"/>
    <w:rsid w:val="00CE56EB"/>
    <w:rsid w:val="00D001D1"/>
    <w:rsid w:val="00D022C6"/>
    <w:rsid w:val="00D026D0"/>
    <w:rsid w:val="00D02EDA"/>
    <w:rsid w:val="00D10E3E"/>
    <w:rsid w:val="00D14E87"/>
    <w:rsid w:val="00D1529D"/>
    <w:rsid w:val="00D15C9C"/>
    <w:rsid w:val="00D16F67"/>
    <w:rsid w:val="00D23E2B"/>
    <w:rsid w:val="00D254AD"/>
    <w:rsid w:val="00D2594E"/>
    <w:rsid w:val="00D30786"/>
    <w:rsid w:val="00D3335D"/>
    <w:rsid w:val="00D3414B"/>
    <w:rsid w:val="00D40271"/>
    <w:rsid w:val="00D51D7E"/>
    <w:rsid w:val="00D536AB"/>
    <w:rsid w:val="00D54186"/>
    <w:rsid w:val="00D546CF"/>
    <w:rsid w:val="00D63531"/>
    <w:rsid w:val="00D64ED0"/>
    <w:rsid w:val="00D655D8"/>
    <w:rsid w:val="00D66F31"/>
    <w:rsid w:val="00D70FA4"/>
    <w:rsid w:val="00D71397"/>
    <w:rsid w:val="00D727DF"/>
    <w:rsid w:val="00D72A96"/>
    <w:rsid w:val="00D73E07"/>
    <w:rsid w:val="00D759D5"/>
    <w:rsid w:val="00D80E5F"/>
    <w:rsid w:val="00D83B3B"/>
    <w:rsid w:val="00D86F0D"/>
    <w:rsid w:val="00D93BB0"/>
    <w:rsid w:val="00D955BC"/>
    <w:rsid w:val="00D96B56"/>
    <w:rsid w:val="00DA5D7C"/>
    <w:rsid w:val="00DB0CB5"/>
    <w:rsid w:val="00DB742D"/>
    <w:rsid w:val="00DC05FF"/>
    <w:rsid w:val="00DC1825"/>
    <w:rsid w:val="00DC4480"/>
    <w:rsid w:val="00DC7520"/>
    <w:rsid w:val="00DD1CBD"/>
    <w:rsid w:val="00DD2A80"/>
    <w:rsid w:val="00DE2F9B"/>
    <w:rsid w:val="00DE356F"/>
    <w:rsid w:val="00DE381D"/>
    <w:rsid w:val="00DF123F"/>
    <w:rsid w:val="00DF1BB0"/>
    <w:rsid w:val="00DF31B0"/>
    <w:rsid w:val="00DF7878"/>
    <w:rsid w:val="00E01D12"/>
    <w:rsid w:val="00E037A9"/>
    <w:rsid w:val="00E05757"/>
    <w:rsid w:val="00E12104"/>
    <w:rsid w:val="00E12DCE"/>
    <w:rsid w:val="00E15FA4"/>
    <w:rsid w:val="00E177FF"/>
    <w:rsid w:val="00E211A6"/>
    <w:rsid w:val="00E239AA"/>
    <w:rsid w:val="00E3134E"/>
    <w:rsid w:val="00E338AC"/>
    <w:rsid w:val="00E342B9"/>
    <w:rsid w:val="00E41C50"/>
    <w:rsid w:val="00E442D8"/>
    <w:rsid w:val="00E44EF1"/>
    <w:rsid w:val="00E503C6"/>
    <w:rsid w:val="00E55165"/>
    <w:rsid w:val="00E55B7A"/>
    <w:rsid w:val="00E57638"/>
    <w:rsid w:val="00E617A8"/>
    <w:rsid w:val="00E65757"/>
    <w:rsid w:val="00E73B1E"/>
    <w:rsid w:val="00E7635E"/>
    <w:rsid w:val="00E7667C"/>
    <w:rsid w:val="00E8063C"/>
    <w:rsid w:val="00E8185F"/>
    <w:rsid w:val="00E82B8F"/>
    <w:rsid w:val="00E97758"/>
    <w:rsid w:val="00EA1EB6"/>
    <w:rsid w:val="00EA33CD"/>
    <w:rsid w:val="00EA3FB1"/>
    <w:rsid w:val="00EA5CB2"/>
    <w:rsid w:val="00EA7A5A"/>
    <w:rsid w:val="00EA7EB9"/>
    <w:rsid w:val="00EB1B45"/>
    <w:rsid w:val="00EB278F"/>
    <w:rsid w:val="00EB3856"/>
    <w:rsid w:val="00EB4147"/>
    <w:rsid w:val="00EB7325"/>
    <w:rsid w:val="00EC2828"/>
    <w:rsid w:val="00EC4580"/>
    <w:rsid w:val="00EC51F8"/>
    <w:rsid w:val="00EC5CD4"/>
    <w:rsid w:val="00EC62DE"/>
    <w:rsid w:val="00EE36E4"/>
    <w:rsid w:val="00EE6920"/>
    <w:rsid w:val="00EF449E"/>
    <w:rsid w:val="00EF55DB"/>
    <w:rsid w:val="00F02EBA"/>
    <w:rsid w:val="00F02F81"/>
    <w:rsid w:val="00F04047"/>
    <w:rsid w:val="00F06A4D"/>
    <w:rsid w:val="00F07EE7"/>
    <w:rsid w:val="00F17642"/>
    <w:rsid w:val="00F27E66"/>
    <w:rsid w:val="00F31A1E"/>
    <w:rsid w:val="00F331A9"/>
    <w:rsid w:val="00F366FD"/>
    <w:rsid w:val="00F517D2"/>
    <w:rsid w:val="00F53953"/>
    <w:rsid w:val="00F57C38"/>
    <w:rsid w:val="00F61FF5"/>
    <w:rsid w:val="00F644A6"/>
    <w:rsid w:val="00F665E4"/>
    <w:rsid w:val="00F66E1A"/>
    <w:rsid w:val="00F71B2A"/>
    <w:rsid w:val="00F774A6"/>
    <w:rsid w:val="00F808FA"/>
    <w:rsid w:val="00F81B4E"/>
    <w:rsid w:val="00F81C67"/>
    <w:rsid w:val="00F84DC1"/>
    <w:rsid w:val="00F91369"/>
    <w:rsid w:val="00F92410"/>
    <w:rsid w:val="00FA0BF6"/>
    <w:rsid w:val="00FA0F21"/>
    <w:rsid w:val="00FA10A3"/>
    <w:rsid w:val="00FA1BC9"/>
    <w:rsid w:val="00FA514F"/>
    <w:rsid w:val="00FA524D"/>
    <w:rsid w:val="00FA6DB7"/>
    <w:rsid w:val="00FB2753"/>
    <w:rsid w:val="00FB46F8"/>
    <w:rsid w:val="00FB5F4B"/>
    <w:rsid w:val="00FC04D3"/>
    <w:rsid w:val="00FC0EE8"/>
    <w:rsid w:val="00FC70B0"/>
    <w:rsid w:val="00FD13B9"/>
    <w:rsid w:val="00FE3BE6"/>
    <w:rsid w:val="00FE4764"/>
    <w:rsid w:val="00FF0FFA"/>
    <w:rsid w:val="00FF175B"/>
    <w:rsid w:val="00FF38A0"/>
    <w:rsid w:val="00FF431C"/>
    <w:rsid w:val="00FF468F"/>
    <w:rsid w:val="00FF5648"/>
    <w:rsid w:val="00FF575F"/>
    <w:rsid w:val="079D7CBE"/>
    <w:rsid w:val="32F817F8"/>
    <w:rsid w:val="75FD9373"/>
    <w:rsid w:val="77B9C03E"/>
    <w:rsid w:val="7DFE6F5D"/>
    <w:rsid w:val="7FCF26AC"/>
    <w:rsid w:val="A7B7B776"/>
    <w:rsid w:val="C67D0E9D"/>
    <w:rsid w:val="D28D88A4"/>
    <w:rsid w:val="F5FF1ECB"/>
    <w:rsid w:val="F7E22B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iPriority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nhideWhenUsed="0" w:uiPriority="0" w:semiHidden="0" w:name="Table Subtle 2"/>
    <w:lsdException w:uiPriority="0" w:name="Table Web 1"/>
    <w:lsdException w:uiPriority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iPriority="0" w:name="Light Shading"/>
    <w:lsdException w:uiPriority="0" w:name="Light List"/>
    <w:lsdException w:uiPriority="0" w:name="Light Grid"/>
    <w:lsdException w:uiPriority="0" w:name="Medium Shading 1"/>
    <w:lsdException w:uiPriority="0" w:name="Medium Shading 2"/>
    <w:lsdException w:uiPriority="0" w:name="Medium List 1"/>
    <w:lsdException w:uiPriority="0" w:name="Medium List 2"/>
    <w:lsdException w:uiPriority="0" w:name="Medium Grid 1"/>
    <w:lsdException w:uiPriority="0" w:name="Medium Grid 2"/>
    <w:lsdException w:uiPriority="0" w:name="Medium Grid 3"/>
    <w:lsdException w:uiPriority="0" w:name="Dark List"/>
    <w:lsdException w:uiPriority="0" w:name="Colorful Shading"/>
    <w:lsdException w:uiPriority="0" w:name="Colorful List"/>
    <w:lsdException w:uiPriority="0" w:name="Colorful Grid"/>
    <w:lsdException w:uiPriority="0" w:name="Light Shading Accent 1"/>
    <w:lsdException w:uiPriority="0" w:name="Light List Accent 1"/>
    <w:lsdException w:unhideWhenUsed="0" w:uiPriority="0" w:semiHidden="0" w:name="Light Grid Accent 1"/>
    <w:lsdException w:unhideWhenUsed="0" w:uiPriority="0" w:semiHidden="0" w:name="Medium Shading 1 Accent 1"/>
    <w:lsdException w:unhideWhenUsed="0" w:uiPriority="0" w:semiHidden="0" w:name="Medium Shading 2 Accent 1"/>
    <w:lsdException w:unhideWhenUsed="0" w:uiPriority="0" w:semiHidden="0" w:name="Medium List 1 Accent 1"/>
    <w:lsdException w:uiPriority="0" w:name="Medium List 2 Accent 1"/>
    <w:lsdException w:uiPriority="0" w:name="Medium Grid 1 Accent 1"/>
    <w:lsdException w:uiPriority="0" w:name="Medium Grid 2 Accent 1"/>
    <w:lsdException w:uiPriority="0" w:name="Medium Grid 3 Accent 1"/>
    <w:lsdException w:uiPriority="0" w:name="Dark List Accent 1"/>
    <w:lsdException w:uiPriority="0" w:name="Colorful Shading Accent 1"/>
    <w:lsdException w:uiPriority="0" w:name="Colorful List Accent 1"/>
    <w:lsdException w:uiPriority="0" w:name="Colorful Grid Accent 1"/>
    <w:lsdException w:uiPriority="0" w:name="Light Shading Accent 2"/>
    <w:lsdException w:uiPriority="0" w:name="Light List Accent 2"/>
    <w:lsdException w:uiPriority="0" w:name="Light Grid Accent 2"/>
    <w:lsdException w:uiPriority="0" w:name="Medium Shading 1 Accent 2"/>
    <w:lsdException w:uiPriority="0" w:name="Medium Shading 2 Accent 2"/>
    <w:lsdException w:uiPriority="0" w:name="Medium List 1 Accent 2"/>
    <w:lsdException w:uiPriority="0" w:name="Medium List 2 Accent 2"/>
    <w:lsdException w:uiPriority="0" w:name="Medium Grid 1 Accent 2"/>
    <w:lsdException w:uiPriority="0" w:name="Medium Grid 2 Accent 2"/>
    <w:lsdException w:uiPriority="0" w:name="Medium Grid 3 Accent 2"/>
    <w:lsdException w:uiPriority="0" w:name="Dark List Accent 2"/>
    <w:lsdException w:uiPriority="0" w:name="Colorful Shading Accent 2"/>
    <w:lsdException w:uiPriority="0" w:name="Colorful List Accent 2"/>
    <w:lsdException w:uiPriority="0" w:name="Colorful Grid Accent 2"/>
    <w:lsdException w:uiPriority="0" w:name="Light Shading Accent 3"/>
    <w:lsdException w:uiPriority="0" w:name="Light List Accent 3"/>
    <w:lsdException w:uiPriority="0" w:name="Light Grid Accent 3"/>
    <w:lsdException w:uiPriority="0" w:name="Medium Shading 1 Accent 3"/>
    <w:lsdException w:uiPriority="0" w:name="Medium Shading 2 Accent 3"/>
    <w:lsdException w:uiPriority="0" w:name="Medium List 1 Accent 3"/>
    <w:lsdException w:uiPriority="0" w:name="Medium List 2 Accent 3"/>
    <w:lsdException w:uiPriority="0" w:name="Medium Grid 1 Accent 3"/>
    <w:lsdException w:uiPriority="0" w:name="Medium Grid 2 Accent 3"/>
    <w:lsdException w:uiPriority="0" w:name="Medium Grid 3 Accent 3"/>
    <w:lsdException w:unhideWhenUsed="0" w:uiPriority="0" w:semiHidden="0" w:name="Dark List Accent 3"/>
    <w:lsdException w:uiPriority="0" w:name="Colorful Shading Accent 3"/>
    <w:lsdException w:uiPriority="0" w:name="Colorful List Accent 3"/>
    <w:lsdException w:uiPriority="0" w:name="Colorful Grid Accent 3"/>
    <w:lsdException w:uiPriority="0" w:name="Light Shading Accent 4"/>
    <w:lsdException w:uiPriority="0" w:name="Light List Accent 4"/>
    <w:lsdException w:uiPriority="0" w:name="Light Grid Accent 4"/>
    <w:lsdException w:uiPriority="0" w:name="Medium Shading 1 Accent 4"/>
    <w:lsdException w:uiPriority="0" w:name="Medium Shading 2 Accent 4"/>
    <w:lsdException w:uiPriority="0" w:name="Medium List 1 Accent 4"/>
    <w:lsdException w:uiPriority="0" w:name="Medium List 2 Accent 4"/>
    <w:lsdException w:uiPriority="0" w:name="Medium Grid 1 Accent 4"/>
    <w:lsdException w:uiPriority="0" w:name="Medium Grid 2 Accent 4"/>
    <w:lsdException w:uiPriority="0" w:name="Medium Grid 3 Accent 4"/>
    <w:lsdException w:uiPriority="0" w:name="Dark List Accent 4"/>
    <w:lsdException w:uiPriority="0" w:name="Colorful Shading Accent 4"/>
    <w:lsdException w:uiPriority="0" w:name="Colorful List Accent 4"/>
    <w:lsdException w:uiPriority="0" w:name="Colorful Grid Accent 4"/>
    <w:lsdException w:uiPriority="0" w:name="Light Shading Accent 5"/>
    <w:lsdException w:uiPriority="0" w:name="Light List Accent 5"/>
    <w:lsdException w:uiPriority="0" w:name="Light Grid Accent 5"/>
    <w:lsdException w:uiPriority="0" w:name="Medium Shading 1 Accent 5"/>
    <w:lsdException w:uiPriority="0" w:name="Medium Shading 2 Accent 5"/>
    <w:lsdException w:uiPriority="0" w:name="Medium List 1 Accent 5"/>
    <w:lsdException w:uiPriority="0" w:name="Medium List 2 Accent 5"/>
    <w:lsdException w:uiPriority="0" w:name="Medium Grid 1 Accent 5"/>
    <w:lsdException w:uiPriority="0" w:name="Medium Grid 2 Accent 5"/>
    <w:lsdException w:uiPriority="0" w:name="Medium Grid 3 Accent 5"/>
    <w:lsdException w:uiPriority="0" w:name="Dark List Accent 5"/>
    <w:lsdException w:uiPriority="0" w:name="Colorful Shading Accent 5"/>
    <w:lsdException w:uiPriority="0" w:name="Colorful List Accent 5"/>
    <w:lsdException w:uiPriority="0" w:name="Colorful Grid Accent 5"/>
    <w:lsdException w:uiPriority="0" w:name="Light Shading Accent 6"/>
    <w:lsdException w:uiPriority="0" w:name="Light List Accent 6"/>
    <w:lsdException w:uiPriority="0" w:name="Light Grid Accent 6"/>
    <w:lsdException w:uiPriority="0" w:name="Medium Shading 1 Accent 6"/>
    <w:lsdException w:uiPriority="0" w:name="Medium Shading 2 Accent 6"/>
    <w:lsdException w:uiPriority="0" w:name="Medium List 1 Accent 6"/>
    <w:lsdException w:uiPriority="0" w:name="Medium List 2 Accent 6"/>
    <w:lsdException w:uiPriority="0" w:name="Medium Grid 1 Accent 6"/>
    <w:lsdException w:uiPriority="0" w:name="Medium Grid 2 Accent 6"/>
    <w:lsdException w:uiPriority="0" w:name="Medium Grid 3 Accent 6"/>
    <w:lsdException w:unhideWhenUsed="0" w:uiPriority="0" w:semiHidden="0" w:name="Dark List Accent 6"/>
    <w:lsdException w:unhideWhenUsed="0" w:uiPriority="0" w:semiHidden="0" w:name="Colorful Shading Accent 6"/>
    <w:lsdException w:unhideWhenUsed="0" w:uiPriority="0" w:semiHidden="0" w:name="Colorful List Accent 6"/>
    <w:lsdException w:unhideWhenUsed="0" w:uiPriority="0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80"/>
      <w:jc w:val="both"/>
    </w:pPr>
    <w:rPr>
      <w:kern w:val="2"/>
      <w:sz w:val="21"/>
      <w:szCs w:val="22"/>
      <w:lang w:val="en-US" w:eastAsia="zh-CN" w:bidi="ar-SA"/>
    </w:rPr>
  </w:style>
  <w:style w:type="character" w:default="1" w:styleId="11">
    <w:name w:val="Default Paragraph Font"/>
    <w:unhideWhenUsed/>
    <w:uiPriority w:val="1"/>
  </w:style>
  <w:style w:type="table" w:default="1" w:styleId="8">
    <w:name w:val="Normal Table"/>
    <w:unhideWhenUsed/>
    <w:uiPriority w:val="99"/>
    <w:tblPr>
      <w:tblStyle w:val="8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5"/>
    <w:uiPriority w:val="0"/>
    <w:pPr>
      <w:jc w:val="left"/>
    </w:pPr>
  </w:style>
  <w:style w:type="paragraph" w:styleId="3">
    <w:name w:val="Balloon Text"/>
    <w:basedOn w:val="1"/>
    <w:link w:val="16"/>
    <w:uiPriority w:val="0"/>
    <w:pPr>
      <w:spacing w:after="0"/>
    </w:pPr>
    <w:rPr>
      <w:sz w:val="18"/>
      <w:szCs w:val="18"/>
    </w:rPr>
  </w:style>
  <w:style w:type="paragraph" w:styleId="4">
    <w:name w:val="footer"/>
    <w:basedOn w:val="1"/>
    <w:link w:val="17"/>
    <w:uiPriority w:val="0"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5">
    <w:name w:val="header"/>
    <w:basedOn w:val="1"/>
    <w:link w:val="1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6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7">
    <w:name w:val="annotation subject"/>
    <w:basedOn w:val="2"/>
    <w:next w:val="2"/>
    <w:link w:val="19"/>
    <w:uiPriority w:val="0"/>
    <w:rPr>
      <w:b/>
      <w:bCs/>
    </w:rPr>
  </w:style>
  <w:style w:type="table" w:styleId="9">
    <w:name w:val="Table Grid"/>
    <w:basedOn w:val="8"/>
    <w:uiPriority w:val="0"/>
    <w:tblPr>
      <w:tblStyle w:val="8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0">
    <w:name w:val="Dark List Accent 3"/>
    <w:basedOn w:val="8"/>
    <w:uiPriority w:val="0"/>
    <w:rPr>
      <w:sz w:val="22"/>
      <w:szCs w:val="22"/>
    </w:rPr>
    <w:tblPr>
      <w:tblStyle w:val="8"/>
      <w:tblStyleRowBandSize w:val="1"/>
      <w:tblStyleColBandSize w:val="1"/>
      <w:tblBorders>
        <w:top w:val="single" w:color="A5A5A5" w:sz="8" w:space="0"/>
        <w:left w:val="single" w:color="A5A5A5" w:sz="8" w:space="0"/>
        <w:bottom w:val="single" w:color="A5A5A5" w:sz="8" w:space="0"/>
        <w:right w:val="single" w:color="A5A5A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>
        <w:tblStyle w:val="8"/>
      </w:tblPr>
      <w:tcPr>
        <w:shd w:val="clear" w:color="auto" w:fill="A5A5A5"/>
      </w:tcPr>
    </w:tblStylePr>
    <w:tblStylePr w:type="lastRow">
      <w:pPr>
        <w:spacing w:before="0" w:after="0" w:line="240" w:lineRule="auto"/>
      </w:pPr>
      <w:rPr>
        <w:b/>
        <w:bCs/>
      </w:rPr>
      <w:tblPr>
        <w:tblStyle w:val="8"/>
      </w:tblPr>
      <w:tcPr>
        <w:tcBorders>
          <w:top w:val="double" w:color="A5A5A5" w:sz="6" w:space="0"/>
          <w:left w:val="single" w:color="A5A5A5" w:sz="8" w:space="0"/>
          <w:bottom w:val="single" w:color="A5A5A5" w:sz="8" w:space="0"/>
          <w:right w:val="single" w:color="A5A5A5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8"/>
      </w:tblPr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rPr>
        <w:b/>
        <w:bCs/>
      </w:rPr>
      <w:tblPr>
        <w:tblStyle w:val="8"/>
      </w:tblPr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>
        <w:tblStyle w:val="8"/>
      </w:tblPr>
      <w:tcPr>
        <w:tcBorders>
          <w:top w:val="single" w:color="A5A5A5" w:sz="8" w:space="0"/>
          <w:left w:val="single" w:color="A5A5A5" w:sz="8" w:space="0"/>
          <w:bottom w:val="single" w:color="A5A5A5" w:sz="8" w:space="0"/>
          <w:right w:val="single" w:color="A5A5A5" w:sz="8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8"/>
      </w:tblPr>
      <w:tcPr>
        <w:tcBorders>
          <w:top w:val="single" w:color="A5A5A5" w:sz="8" w:space="0"/>
          <w:left w:val="single" w:color="A5A5A5" w:sz="8" w:space="0"/>
          <w:bottom w:val="single" w:color="A5A5A5" w:sz="8" w:space="0"/>
          <w:right w:val="single" w:color="A5A5A5" w:sz="8" w:space="0"/>
          <w:insideH w:val="nil"/>
          <w:insideV w:val="nil"/>
          <w:tl2br w:val="nil"/>
          <w:tr2bl w:val="nil"/>
        </w:tcBorders>
      </w:tcPr>
    </w:tblStylePr>
  </w:style>
  <w:style w:type="character" w:styleId="12">
    <w:name w:val="FollowedHyperlink"/>
    <w:uiPriority w:val="0"/>
    <w:rPr>
      <w:color w:val="954F72"/>
      <w:u w:val="single"/>
    </w:rPr>
  </w:style>
  <w:style w:type="character" w:styleId="13">
    <w:name w:val="Hyperlink"/>
    <w:uiPriority w:val="0"/>
    <w:rPr>
      <w:color w:val="35A1D4"/>
      <w:u w:val="single"/>
    </w:rPr>
  </w:style>
  <w:style w:type="character" w:styleId="14">
    <w:name w:val="annotation reference"/>
    <w:uiPriority w:val="0"/>
    <w:rPr>
      <w:sz w:val="21"/>
      <w:szCs w:val="21"/>
    </w:rPr>
  </w:style>
  <w:style w:type="character" w:customStyle="1" w:styleId="15">
    <w:name w:val="批注文字 字符"/>
    <w:link w:val="2"/>
    <w:uiPriority w:val="0"/>
    <w:rPr>
      <w:kern w:val="2"/>
      <w:sz w:val="21"/>
      <w:szCs w:val="22"/>
    </w:rPr>
  </w:style>
  <w:style w:type="character" w:customStyle="1" w:styleId="16">
    <w:name w:val="批注框文本 字符"/>
    <w:link w:val="3"/>
    <w:uiPriority w:val="0"/>
    <w:rPr>
      <w:kern w:val="2"/>
      <w:sz w:val="18"/>
      <w:szCs w:val="18"/>
    </w:rPr>
  </w:style>
  <w:style w:type="character" w:customStyle="1" w:styleId="17">
    <w:name w:val="页脚 字符"/>
    <w:link w:val="4"/>
    <w:uiPriority w:val="0"/>
    <w:rPr>
      <w:sz w:val="18"/>
      <w:szCs w:val="18"/>
    </w:rPr>
  </w:style>
  <w:style w:type="character" w:customStyle="1" w:styleId="18">
    <w:name w:val="页眉 字符"/>
    <w:link w:val="5"/>
    <w:uiPriority w:val="0"/>
    <w:rPr>
      <w:sz w:val="18"/>
      <w:szCs w:val="18"/>
    </w:rPr>
  </w:style>
  <w:style w:type="character" w:customStyle="1" w:styleId="19">
    <w:name w:val="批注主题 字符"/>
    <w:link w:val="7"/>
    <w:uiPriority w:val="0"/>
    <w:rPr>
      <w:b/>
      <w:bCs/>
      <w:kern w:val="2"/>
      <w:sz w:val="21"/>
      <w:szCs w:val="22"/>
    </w:rPr>
  </w:style>
  <w:style w:type="character" w:customStyle="1" w:styleId="20">
    <w:name w:val="中等深浅网格 11"/>
    <w:uiPriority w:val="0"/>
    <w:rPr>
      <w:color w:val="808080"/>
    </w:rPr>
  </w:style>
  <w:style w:type="table" w:styleId="21">
    <w:name w:val=""/>
    <w:basedOn w:val="8"/>
    <w:uiPriority w:val="0"/>
    <w:tblPr>
      <w:tblStyle w:val="8"/>
      <w:tblStyleRowBandSize w:val="1"/>
      <w:tblStyleColBandSize w:val="1"/>
      <w:tblBorders>
        <w:top w:val="single" w:color="DBDBDB" w:sz="4" w:space="0"/>
        <w:left w:val="single" w:color="DBDBDB" w:sz="4" w:space="0"/>
        <w:bottom w:val="single" w:color="DBDBDB" w:sz="4" w:space="0"/>
        <w:right w:val="single" w:color="DBDBDB" w:sz="4" w:space="0"/>
        <w:insideH w:val="single" w:color="DBDBDB" w:sz="4" w:space="0"/>
        <w:insideV w:val="single" w:color="DBDBDB" w:sz="4" w:space="0"/>
      </w:tblBorders>
    </w:tblPr>
    <w:tblStylePr w:type="firstRow">
      <w:rPr>
        <w:b/>
        <w:bCs/>
      </w:rPr>
      <w:tblPr>
        <w:tblStyle w:val="8"/>
      </w:tblPr>
      <w:tcPr>
        <w:tcBorders>
          <w:top w:val="nil"/>
          <w:left w:val="single" w:color="C9C9C9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8"/>
      </w:tblPr>
      <w:tcPr>
        <w:tcBorders>
          <w:top w:val="double" w:color="C9C9C9" w:sz="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2">
    <w:name w:val=""/>
    <w:basedOn w:val="8"/>
    <w:uiPriority w:val="0"/>
    <w:tblPr>
      <w:tblStyle w:val="8"/>
      <w:tblStyleRowBandSize w:val="1"/>
      <w:tblStyleColBandSize w:val="1"/>
      <w:tblBorders>
        <w:top w:val="single" w:color="999999" w:sz="4" w:space="0"/>
        <w:left w:val="single" w:color="999999" w:sz="4" w:space="0"/>
        <w:bottom w:val="single" w:color="999999" w:sz="4" w:space="0"/>
        <w:right w:val="single" w:color="999999" w:sz="4" w:space="0"/>
        <w:insideH w:val="single" w:color="999999" w:sz="4" w:space="0"/>
        <w:insideV w:val="single" w:color="999999" w:sz="4" w:space="0"/>
      </w:tblBorders>
    </w:tblPr>
    <w:tblStylePr w:type="firstRow">
      <w:rPr>
        <w:b/>
        <w:bCs/>
      </w:rPr>
      <w:tblPr>
        <w:tblStyle w:val="8"/>
      </w:tblPr>
      <w:tcPr>
        <w:tcBorders>
          <w:top w:val="nil"/>
          <w:left w:val="single" w:color="666666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8"/>
      </w:tblPr>
      <w:tcPr>
        <w:tcBorders>
          <w:top w:val="double" w:color="666666" w:sz="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3">
    <w:name w:val="TableGrid"/>
    <w:uiPriority w:val="0"/>
    <w:rPr>
      <w:rFonts w:ascii="等线" w:hAnsi="等线" w:eastAsia="等线"/>
      <w:kern w:val="2"/>
      <w:sz w:val="21"/>
      <w:szCs w:val="22"/>
      <w:lang w:val="en-US" w:eastAsia="zh-CN" w:bidi="ar-SA"/>
    </w:rPr>
    <w:tblPr>
      <w:tblStyle w:val="8"/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1183</Words>
  <Characters>6747</Characters>
  <Lines>56</Lines>
  <Paragraphs>15</Paragraphs>
  <TotalTime>0</TotalTime>
  <ScaleCrop>false</ScaleCrop>
  <LinksUpToDate>false</LinksUpToDate>
  <CharactersWithSpaces>7915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2025-11-07T22:45:00Z</dcterms:created>
  <dc:creator>龚莉琳(lilin)</dc:creator>
  <cp:lastModifiedBy>吕柯</cp:lastModifiedBy>
  <cp:lastPrinted>2026-04-22T17:07:00Z</cp:lastPrinted>
  <dcterms:modified xsi:type="dcterms:W3CDTF">2026-09-03T14:08:15Z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1CCF86080C3D9AA8CF0E996A84E8579E_43</vt:lpwstr>
  </property>
  <property fmtid="{D5CDD505-2E9C-101B-9397-08002B2CF9AE}" pid="4" name="KSOTemplateDocerSaveRecord">
    <vt:lpwstr>eyJoZGlkIjoiZDkzM2FmZmM0OWUxZTc5NGUzODMyY2I3Y2M0ODY2YTIiLCJ1c2VySWQiOiI0NDM2MTc0MzYifQ==</vt:lpwstr>
  </property>
</Properties>
</file>