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分子结构</w:t>
      </w:r>
    </w:p>
    <w:p w14:paraId="1AD73352">
      <w:pPr>
        <w:pStyle w:val="14"/>
        <w:widowControl w:val="0"/>
        <w:numPr>
          <w:ilvl w:val="0"/>
          <w:numId w:val="0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{{@分子结构}}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{{+主要特性}}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典型参数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806"/>
        <w:gridCol w:w="1445"/>
      </w:tblGrid>
      <w:tr w14:paraId="5CD4A4C1">
        <w:trPr>
          <w:trHeight w:val="280" w:hRule="atLeast"/>
        </w:trPr>
        <w:tc>
          <w:tcPr>
            <w:tcW w:w="2455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jc w:val="both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  <w:t>化学类型</w:t>
            </w:r>
          </w:p>
        </w:tc>
        <w:tc>
          <w:tcPr>
            <w:tcW w:w="806" w:type="dxa"/>
            <w:vAlign w:val="center"/>
          </w:tcPr>
          <w:p w14:paraId="41A09D39">
            <w:pPr>
              <w:spacing w:before="0" w:line="276" w:lineRule="auto"/>
              <w:ind w:left="0" w:right="6"/>
              <w:jc w:val="both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单位</w:t>
            </w:r>
          </w:p>
        </w:tc>
        <w:tc>
          <w:tcPr>
            <w:tcW w:w="1445" w:type="dxa"/>
            <w:vAlign w:val="center"/>
          </w:tcPr>
          <w:p w14:paraId="49BC6DFF">
            <w:pPr>
              <w:spacing w:before="0" w:line="240" w:lineRule="exact"/>
              <w:ind w:left="0" w:leftChars="0" w:right="0" w:firstLine="0" w:firstLineChars="0"/>
              <w:jc w:val="both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结果</w:t>
            </w:r>
          </w:p>
        </w:tc>
      </w:tr>
      <w:tr w14:paraId="34CDC10E">
        <w:trPr>
          <w:trHeight w:val="205" w:hRule="atLeast"/>
        </w:trPr>
        <w:tc>
          <w:tcPr>
            <w:tcW w:w="2455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  <w:t xml:space="preserve">外观 </w:t>
            </w:r>
          </w:p>
        </w:tc>
        <w:tc>
          <w:tcPr>
            <w:tcW w:w="806" w:type="dxa"/>
            <w:vAlign w:val="center"/>
          </w:tcPr>
          <w:p w14:paraId="6A9EA08D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45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{{典型参数.外观}}</w:t>
            </w:r>
          </w:p>
        </w:tc>
      </w:tr>
      <w:tr w14:paraId="0A617AD3">
        <w:trPr>
          <w:trHeight w:val="205" w:hRule="atLeast"/>
        </w:trPr>
        <w:tc>
          <w:tcPr>
            <w:tcW w:w="2455" w:type="dxa"/>
            <w:vAlign w:val="center"/>
          </w:tcPr>
          <w:p w14:paraId="3BE9D5E9">
            <w:pPr>
              <w:spacing w:before="0" w:after="20" w:line="240" w:lineRule="exact"/>
              <w:ind w:left="0" w:right="0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色相</w:t>
            </w:r>
          </w:p>
        </w:tc>
        <w:tc>
          <w:tcPr>
            <w:tcW w:w="806" w:type="dxa"/>
            <w:vAlign w:val="center"/>
          </w:tcPr>
          <w:p w14:paraId="0F05D11D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45" w:type="dxa"/>
            <w:vAlign w:val="bottom"/>
          </w:tcPr>
          <w:p w14:paraId="36BACA2F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{{典型参数.色相}}</w:t>
            </w:r>
          </w:p>
        </w:tc>
      </w:tr>
      <w:tr w14:paraId="7F4080B3">
        <w:trPr>
          <w:trHeight w:val="406" w:hRule="atLeast"/>
        </w:trPr>
        <w:tc>
          <w:tcPr>
            <w:tcW w:w="2455" w:type="dxa"/>
          </w:tcPr>
          <w:p w14:paraId="39F0E74F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spacing w:val="-8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  <w:t>粘度</w:t>
            </w:r>
            <w:r>
              <w:rPr>
                <w:rFonts w:hint="eastAsia" w:ascii="黑体" w:hAnsi="黑体" w:eastAsia="黑体" w:cs="黑体"/>
                <w:b w:val="0"/>
                <w:bCs/>
                <w:spacing w:val="-8"/>
                <w:sz w:val="18"/>
                <w:szCs w:val="18"/>
              </w:rPr>
              <w:t xml:space="preserve"> </w:t>
            </w:r>
          </w:p>
          <w:p w14:paraId="3BF0EFF6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</w:rPr>
              <w:t>{{典型参数.粘度.测试温度}}</w:t>
            </w:r>
          </w:p>
          <w:p w14:paraId="00916B6F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  <w:t xml:space="preserve">{{典型参数.粘度.测试方法}}</w:t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  <w:lang w:eastAsia="zh-CN"/>
              </w:rPr>
              <w:t/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  <w:t xml:space="preserve"/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</w:p>
          <w:p w14:paraId="65D32C42">
            <w:pPr>
              <w:spacing w:before="0" w:line="276" w:lineRule="auto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</w:rPr>
              <w:t xml:space="preserve">{{典型参数.粘度.测试转速}}</w:t>
            </w:r>
            <w:r>
              <w:rPr>
                <w:rFonts w:hint="eastAsia" w:ascii="黑体" w:hAnsi="黑体" w:eastAsia="黑体" w:cs="黑体"/>
                <w:b w:val="0"/>
                <w:bCs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</w:rPr>
              <w:t/>
            </w:r>
          </w:p>
        </w:tc>
        <w:tc>
          <w:tcPr>
            <w:tcW w:w="806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  <w:t xml:space="preserve">{{典型参数.粘度.单位}}</w:t>
            </w:r>
          </w:p>
        </w:tc>
        <w:tc>
          <w:tcPr>
            <w:tcW w:w="1445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b w:val="0"/>
                <w:bCs/>
                <w:sz w:val="18"/>
                <w:szCs w:val="18"/>
                <w:lang w:eastAsia="zh-CN"/>
              </w:rPr>
              <w:t xml:space="preserve">{{典型参数.粘度.数值}}</w:t>
            </w:r>
          </w:p>
        </w:tc>
      </w:tr>
      <w:tr w14:paraId="3266AEA3">
        <w:trPr>
          <w:trHeight w:val="406" w:hRule="atLeast"/>
        </w:trPr>
        <w:tc>
          <w:tcPr>
            <w:tcW w:w="2455" w:type="dxa"/>
            <w:vAlign w:val="center"/>
          </w:tcPr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官能团当量</w:t>
            </w:r>
          </w:p>
        </w:tc>
        <w:tc>
          <w:tcPr>
            <w:tcW w:w="806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aanana Regular" w:hAnsi="Raanana Regular" w:cs="Raanana Regular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 xml:space="preserve">{{典型参数.官能团当量.单位}}</w:t>
            </w:r>
          </w:p>
        </w:tc>
        <w:tc>
          <w:tcPr>
            <w:tcW w:w="1445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{{典型参数.官能团当量.数值}}</w:t>
            </w:r>
          </w:p>
        </w:tc>
      </w:tr>
      <w:tr w14:paraId="6F776E19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7ACF0355">
            <w:pPr>
              <w:spacing w:before="0" w:after="20" w:line="240" w:lineRule="exact"/>
              <w:ind w:left="0" w:right="0"/>
              <w:rPr>
                <w:rFonts w:hint="default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可水解氯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7AD374C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 xml:space="preserve">{{典型参数.可水解氯.单位}}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AA9ABB4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{{典型参数.可水解氯.数值}}</w:t>
            </w:r>
          </w:p>
        </w:tc>
      </w:tr>
      <w:tr w14:paraId="0AF2985E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722E09DD">
            <w:pPr>
              <w:spacing w:before="0" w:after="20" w:line="240" w:lineRule="exact"/>
              <w:ind w:left="0" w:right="0"/>
              <w:rPr>
                <w:rFonts w:hint="default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无机氯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6939039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 xml:space="preserve">{{典型参数.无机氯.单位}}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0F015FB5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{{典型参数.无机氯.数值}}</w:t>
            </w:r>
          </w:p>
        </w:tc>
      </w:tr>
      <w:tr w14:paraId="1FDA4A30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540B773B">
            <w:pPr>
              <w:spacing w:before="0" w:after="20" w:line="240" w:lineRule="exact"/>
              <w:ind w:left="0" w:right="0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总氯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 xml:space="preserve">{{典型参数.总氯.单位}}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{{典型参数.总氯.数值}}</w:t>
            </w:r>
          </w:p>
        </w:tc>
      </w:tr>
      <w:tr w14:paraId="05557DBF">
        <w:trPr>
          <w:trHeight w:val="406" w:hRule="atLeast"/>
        </w:trPr>
        <w:tc>
          <w:tcPr>
            <w:tcW w:w="2455" w:type="dxa"/>
            <w:vAlign w:val="center"/>
          </w:tcPr>
          <w:p w14:paraId="4A7AE050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不挥发物</w:t>
            </w:r>
          </w:p>
        </w:tc>
        <w:tc>
          <w:tcPr>
            <w:tcW w:w="806" w:type="dxa"/>
            <w:vAlign w:val="center"/>
          </w:tcPr>
          <w:p w14:paraId="66FC2FB5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 xml:space="preserve">{{典型参数.不挥发物.单位}}</w:t>
            </w:r>
          </w:p>
        </w:tc>
        <w:tc>
          <w:tcPr>
            <w:tcW w:w="1445" w:type="dxa"/>
            <w:vAlign w:val="center"/>
          </w:tcPr>
          <w:p w14:paraId="73BF1A0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{{典型参数.不挥发物.数值}}</w:t>
            </w:r>
          </w:p>
        </w:tc>
      </w:tr>
      <w:tr w14:paraId="73EC2ACF">
        <w:trPr>
          <w:trHeight w:val="406" w:hRule="atLeast"/>
        </w:trPr>
        <w:tc>
          <w:tcPr>
            <w:tcW w:w="2455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>分子量</w:t>
            </w:r>
          </w:p>
        </w:tc>
        <w:tc>
          <w:tcPr>
            <w:tcW w:w="806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45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{{典型参数.分子量}}</w:t>
            </w:r>
          </w:p>
        </w:tc>
      </w:tr>
      <w:tr w14:paraId="07A86268">
        <w:trPr>
          <w:trHeight w:val="406" w:hRule="atLeast"/>
        </w:trPr>
        <w:tc>
          <w:tcPr>
            <w:tcW w:w="2455" w:type="dxa"/>
            <w:vAlign w:val="center"/>
          </w:tcPr>
          <w:p w14:paraId="3B172A0B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 xml:space="preserve">折射率 </w:t>
            </w:r>
          </w:p>
        </w:tc>
        <w:tc>
          <w:tcPr>
            <w:tcW w:w="806" w:type="dxa"/>
            <w:vAlign w:val="center"/>
          </w:tcPr>
          <w:p w14:paraId="39A27FC4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45" w:type="dxa"/>
            <w:vAlign w:val="center"/>
          </w:tcPr>
          <w:p w14:paraId="449490DC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{{典型参数.折射率}}</w:t>
            </w:r>
          </w:p>
        </w:tc>
      </w:tr>
      <w:tr w14:paraId="412F3B80">
        <w:trPr>
          <w:trHeight w:val="406" w:hRule="atLeast"/>
        </w:trPr>
        <w:tc>
          <w:tcPr>
            <w:tcW w:w="2455" w:type="dxa"/>
            <w:vAlign w:val="center"/>
          </w:tcPr>
          <w:p w14:paraId="7E0754D9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>密度</w:t>
            </w:r>
          </w:p>
        </w:tc>
        <w:tc>
          <w:tcPr>
            <w:tcW w:w="806" w:type="dxa"/>
            <w:vAlign w:val="center"/>
          </w:tcPr>
          <w:p w14:paraId="701CB17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{{典型参数.密度.单位}}</w:t>
            </w:r>
          </w:p>
        </w:tc>
        <w:tc>
          <w:tcPr>
            <w:tcW w:w="1445" w:type="dxa"/>
            <w:vAlign w:val="center"/>
          </w:tcPr>
          <w:p w14:paraId="336E0460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{{典型参数.密度.数值}}</w:t>
            </w:r>
          </w:p>
        </w:tc>
      </w:tr>
      <w:tr w14:paraId="2EBF27D1">
        <w:trPr>
          <w:trHeight w:val="406" w:hRule="atLeast"/>
        </w:trPr>
        <w:tc>
          <w:tcPr>
            <w:tcW w:w="2455" w:type="dxa"/>
            <w:vAlign w:val="center"/>
          </w:tcPr>
          <w:p w14:paraId="26D38B07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>含水量</w:t>
            </w:r>
          </w:p>
        </w:tc>
        <w:tc>
          <w:tcPr>
            <w:tcW w:w="806" w:type="dxa"/>
            <w:vAlign w:val="center"/>
          </w:tcPr>
          <w:p w14:paraId="6C1A953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{{典型参数.含水量.单位}}</w:t>
            </w:r>
          </w:p>
        </w:tc>
        <w:tc>
          <w:tcPr>
            <w:tcW w:w="1445" w:type="dxa"/>
            <w:vAlign w:val="center"/>
          </w:tcPr>
          <w:p w14:paraId="1BFD026D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{{典型参数.含水量.数值}}</w:t>
            </w:r>
          </w:p>
        </w:tc>
      </w:tr>
      <w:tr w14:paraId="2EBF27D1">
        <w:trPr>
          <w:trHeight w:val="406" w:hRule="atLeast"/>
        </w:trPr>
        <w:tc>
          <w:tcPr>
            <w:tcW w:w="2455" w:type="dxa"/>
            <w:vAlign w:val="center"/>
          </w:tcPr>
          <w:p w14:paraId="26D38B07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 xml:space="preserve">色度</w:t>
            </w:r>
          </w:p>
        </w:tc>
        <w:tc>
          <w:tcPr>
            <w:tcW w:w="806" w:type="dxa"/>
            <w:vAlign w:val="center"/>
          </w:tcPr>
          <w:p w14:paraId="6C1A953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{{典型参数.色度.单位}}</w:t>
            </w:r>
          </w:p>
        </w:tc>
        <w:tc>
          <w:tcPr>
            <w:tcW w:w="1445" w:type="dxa"/>
            <w:vAlign w:val="center"/>
          </w:tcPr>
          <w:p w14:paraId="1BFD026D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{{典型参数.色度.数值}}</w:t>
            </w:r>
          </w:p>
        </w:tc>
      </w:tr>
    </w:tbl>
    <w:p w14:paraId="4B98DB2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使用方法</w:t>
      </w:r>
    </w:p>
    <w:p w14:paraId="1E1DED5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{{+使用方法}}</w:t>
      </w:r>
    </w:p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主要应用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{{+主要应用}}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{{+包装}}</w:t>
      </w:r>
    </w:p>
    <w:p w14:paraId="12E34E48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保质期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{{+贮存及保质期}}</w:t>
      </w:r>
    </w:p>
    <w:p w14:paraId="5F83507C">
      <w:pPr>
        <w:numPr>
          <w:numId w:val="0"/>
        </w:numPr>
        <w:spacing w:before="240" w:after="120"/>
        <w:ind w:right="0" w:rightChars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注意事项</w:t>
      </w:r>
    </w:p>
    <w:p w14:paraId="674A5561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{{+注意事项}}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{{+安全及健康}}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b/>
          <w:bCs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b/>
          <w:bCs/>
          <w:i/>
          <w:iCs/>
          <w:lang w:val="en-US" w:eastAsia="zh-CN"/>
        </w:rPr>
        <w:t>特别说明</w:t>
      </w:r>
    </w:p>
    <w:p w14:paraId="368BD6AD">
      <w:pPr>
        <w:pStyle w:val="3"/>
        <w:spacing w:before="0"/>
        <w:ind w:left="0" w:right="0" w:firstLine="360" w:firstLineChars="200"/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 xml:space="preserve">{{+特别说明}}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Raanana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243840</wp:posOffset>
              </wp:positionV>
              <wp:extent cx="3386455" cy="1240790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86455" cy="1240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XXX环氧树脂/环氧固化剂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9.2pt;height:97.7pt;width:266.65pt;mso-position-horizontal-relative:page;mso-position-vertical-relative:page;z-index:-251657216;mso-width-relative:page;mso-height-relative:page;" filled="f" stroked="f" coordsize="21600,21600" o:gfxdata="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xtkL3&#10;2wAAAAsBAAAPAAAAAAAAAAEAIAAAACIAAABkcnMvZG93bnJldi54bWxQSwECFAAUAAAACACHTuJA&#10;FOmQR+UBAADVAwAADgAAAAAAAAABACAAAAAqAQAAZHJzL2Uyb0RvYy54bWxQSwUGAAAAAAYABgBZ&#10;AQAAg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XXX环氧树脂/环氧固化剂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1"/>
    <w:bookmarkStart w:id="1" w:name="_Hlk108704076"/>
    <w:bookmarkStart w:id="2" w:name="OLE_LINK2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965200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6pt;height:0pt;width:506.8pt;z-index:251660288;mso-width-relative:page;mso-height-relative:page;" filled="f" stroked="t" coordsize="21600,21600" o:gfxdata="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4iN4t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0BFFBE5A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9FD173"/>
    <w:rsid w:val="6CCC508C"/>
    <w:rsid w:val="6FFABAAA"/>
    <w:rsid w:val="6FFCDDDD"/>
    <w:rsid w:val="7BF65A1B"/>
    <w:rsid w:val="7BFE735F"/>
    <w:rsid w:val="7CF56209"/>
    <w:rsid w:val="7D8C7B74"/>
    <w:rsid w:val="7DFF73D4"/>
    <w:rsid w:val="7DFFBB79"/>
    <w:rsid w:val="7ECDF71B"/>
    <w:rsid w:val="7FBB265B"/>
    <w:rsid w:val="7FFBC0A0"/>
    <w:rsid w:val="87F3E7CA"/>
    <w:rsid w:val="97FBDAF7"/>
    <w:rsid w:val="B7F8140A"/>
    <w:rsid w:val="BE714CB0"/>
    <w:rsid w:val="DBBD718B"/>
    <w:rsid w:val="DE9FF722"/>
    <w:rsid w:val="EFBFA6E7"/>
    <w:rsid w:val="F77F17A2"/>
    <w:rsid w:val="F7BD5951"/>
    <w:rsid w:val="F7FCCEA8"/>
    <w:rsid w:val="F7FDF8E9"/>
    <w:rsid w:val="F9BD1612"/>
    <w:rsid w:val="F9D72F10"/>
    <w:rsid w:val="F9E311B1"/>
    <w:rsid w:val="FC69CC2C"/>
    <w:rsid w:val="FEEF1A88"/>
    <w:rsid w:val="FEEFA4E5"/>
    <w:rsid w:val="FF29206C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217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2025-12-23T06:11:00Z</dcterms:created>
  <dc:creator>amandine.yu@colltech.cn</dc:creator>
  <cp:lastModifiedBy>无与伦比的夏天</cp:lastModifiedBy>
  <cp:lastPrinted>2025-12-23T03:36:00Z</cp:lastPrinted>
  <dcterms:modified xsi:type="dcterms:W3CDTF">2026-07-23T17:10:42Z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