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分子结构</w:t>
      </w:r>
    </w:p>
    <w:p w14:paraId="1AD73352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[结构式]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内容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典型参数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806"/>
        <w:gridCol w:w="1445"/>
      </w:tblGrid>
      <w:tr w14:paraId="5CD4A4C1">
        <w:trPr>
          <w:trHeight w:val="280" w:hRule="atLeast"/>
        </w:trPr>
        <w:tc>
          <w:tcPr>
            <w:tcW w:w="2455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jc w:val="both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  <w:t>化学类型</w:t>
            </w:r>
          </w:p>
        </w:tc>
        <w:tc>
          <w:tcPr>
            <w:tcW w:w="806" w:type="dxa"/>
            <w:vAlign w:val="center"/>
          </w:tcPr>
          <w:p w14:paraId="41A09D39">
            <w:pPr>
              <w:spacing w:before="0" w:line="276" w:lineRule="auto"/>
              <w:ind w:left="0" w:right="6"/>
              <w:jc w:val="both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单位</w:t>
            </w:r>
          </w:p>
        </w:tc>
        <w:tc>
          <w:tcPr>
            <w:tcW w:w="1445" w:type="dxa"/>
            <w:vAlign w:val="center"/>
          </w:tcPr>
          <w:p w14:paraId="49BC6DFF">
            <w:pPr>
              <w:spacing w:before="0" w:line="240" w:lineRule="exact"/>
              <w:ind w:left="0" w:leftChars="0" w:right="0" w:firstLine="0" w:firstLineChars="0"/>
              <w:jc w:val="both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结果</w:t>
            </w:r>
          </w:p>
        </w:tc>
      </w:tr>
      <w:tr w14:paraId="34CDC10E">
        <w:trPr>
          <w:trHeight w:val="205" w:hRule="atLeast"/>
        </w:trPr>
        <w:tc>
          <w:tcPr>
            <w:tcW w:w="2455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  <w:t xml:space="preserve">外观 </w:t>
            </w:r>
          </w:p>
        </w:tc>
        <w:tc>
          <w:tcPr>
            <w:tcW w:w="806" w:type="dxa"/>
            <w:vAlign w:val="center"/>
          </w:tcPr>
          <w:p w14:paraId="6A9EA08D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45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A617AD3">
        <w:trPr>
          <w:trHeight w:val="205" w:hRule="atLeast"/>
        </w:trPr>
        <w:tc>
          <w:tcPr>
            <w:tcW w:w="2455" w:type="dxa"/>
            <w:vAlign w:val="center"/>
          </w:tcPr>
          <w:p w14:paraId="3BE9D5E9">
            <w:pPr>
              <w:spacing w:before="0" w:after="20" w:line="240" w:lineRule="exact"/>
              <w:ind w:left="0" w:right="0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色相</w:t>
            </w:r>
          </w:p>
        </w:tc>
        <w:tc>
          <w:tcPr>
            <w:tcW w:w="806" w:type="dxa"/>
            <w:vAlign w:val="center"/>
          </w:tcPr>
          <w:p w14:paraId="0F05D11D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45" w:type="dxa"/>
            <w:vAlign w:val="bottom"/>
          </w:tcPr>
          <w:p w14:paraId="36BACA2F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F4080B3">
        <w:trPr>
          <w:trHeight w:val="406" w:hRule="atLeast"/>
        </w:trPr>
        <w:tc>
          <w:tcPr>
            <w:tcW w:w="2455" w:type="dxa"/>
          </w:tcPr>
          <w:p w14:paraId="39F0E74F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spacing w:val="-8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  <w:t>粘度</w:t>
            </w:r>
            <w:r>
              <w:rPr>
                <w:rFonts w:hint="eastAsia" w:ascii="黑体" w:hAnsi="黑体" w:eastAsia="黑体" w:cs="黑体"/>
                <w:b w:val="0"/>
                <w:bCs/>
                <w:spacing w:val="-8"/>
                <w:sz w:val="18"/>
                <w:szCs w:val="18"/>
              </w:rPr>
              <w:t xml:space="preserve"> </w:t>
            </w:r>
          </w:p>
          <w:p w14:paraId="3BF0EFF6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</w:rPr>
              <w:t>@ 25°C</w:t>
            </w:r>
          </w:p>
          <w:p w14:paraId="00916B6F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  <w:t xml:space="preserve">Brookfield </w:t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  <w:lang w:val="en-US" w:eastAsia="zh-CN"/>
              </w:rPr>
              <w:t>DVNXHBCP</w:t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spacing w:val="-8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 w:cs="黑体"/>
                <w:b w:val="0"/>
                <w:bCs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</w:p>
          <w:p w14:paraId="65D32C42">
            <w:pPr>
              <w:spacing w:before="0" w:line="276" w:lineRule="auto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黑体" w:hAnsi="黑体" w:eastAsia="黑体" w:cs="黑体"/>
                <w:b w:val="0"/>
                <w:bCs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</w:rPr>
              <w:t>rpm</w:t>
            </w:r>
          </w:p>
        </w:tc>
        <w:tc>
          <w:tcPr>
            <w:tcW w:w="806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  <w:fldChar w:fldCharType="begin"/>
            </w: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  <w:instrText xml:space="preserve"> MERGEFIELD "PUC_U3" </w:instrText>
            </w: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  <w:t>mPa·s</w:t>
            </w: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eastAsia="zh-CN"/>
              </w:rPr>
              <w:fldChar w:fldCharType="end"/>
            </w:r>
          </w:p>
        </w:tc>
        <w:tc>
          <w:tcPr>
            <w:tcW w:w="1445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b w:val="0"/>
                <w:bCs/>
                <w:sz w:val="18"/>
                <w:szCs w:val="18"/>
                <w:lang w:eastAsia="zh-CN"/>
              </w:rPr>
            </w:pPr>
          </w:p>
        </w:tc>
      </w:tr>
      <w:tr w14:paraId="3266AEA3">
        <w:trPr>
          <w:trHeight w:val="406" w:hRule="atLeast"/>
        </w:trPr>
        <w:tc>
          <w:tcPr>
            <w:tcW w:w="2455" w:type="dxa"/>
            <w:vAlign w:val="center"/>
          </w:tcPr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官能团当量</w:t>
            </w:r>
          </w:p>
        </w:tc>
        <w:tc>
          <w:tcPr>
            <w:tcW w:w="806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aanana Regular" w:hAnsi="Raanana Regular" w:cs="Raanana Regular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g/eq</w:t>
            </w:r>
          </w:p>
        </w:tc>
        <w:tc>
          <w:tcPr>
            <w:tcW w:w="1445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6F776E19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7ACF0355">
            <w:pPr>
              <w:spacing w:before="0" w:after="20" w:line="240" w:lineRule="exact"/>
              <w:ind w:left="0" w:right="0"/>
              <w:rPr>
                <w:rFonts w:hint="default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可水解氯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7AD374C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AA9ABB4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AF2985E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722E09DD">
            <w:pPr>
              <w:spacing w:before="0" w:after="20" w:line="240" w:lineRule="exact"/>
              <w:ind w:left="0" w:right="0"/>
              <w:rPr>
                <w:rFonts w:hint="default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无机氯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6939039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0F015FB5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1FDA4A30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540B773B">
            <w:pPr>
              <w:spacing w:before="0" w:after="20" w:line="240" w:lineRule="exact"/>
              <w:ind w:left="0" w:right="0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总氯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5557DBF">
        <w:trPr>
          <w:trHeight w:val="406" w:hRule="atLeast"/>
        </w:trPr>
        <w:tc>
          <w:tcPr>
            <w:tcW w:w="2455" w:type="dxa"/>
            <w:vAlign w:val="center"/>
          </w:tcPr>
          <w:p w14:paraId="4A7AE050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8"/>
                <w:szCs w:val="18"/>
                <w:lang w:val="en-US" w:eastAsia="zh-CN"/>
              </w:rPr>
              <w:t>不挥发物</w:t>
            </w:r>
          </w:p>
        </w:tc>
        <w:tc>
          <w:tcPr>
            <w:tcW w:w="806" w:type="dxa"/>
            <w:vAlign w:val="center"/>
          </w:tcPr>
          <w:p w14:paraId="66FC2FB5">
            <w:pPr>
              <w:spacing w:before="0" w:line="276" w:lineRule="auto"/>
              <w:ind w:left="0" w:right="6"/>
              <w:jc w:val="left"/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aanana Regular" w:hAnsi="Raanana Regular" w:eastAsia="思源黑体 CN Regular" w:cs="Raanana Regular"/>
                <w:b w:val="0"/>
                <w:bCs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5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3EC2ACF">
        <w:trPr>
          <w:trHeight w:val="406" w:hRule="atLeast"/>
        </w:trPr>
        <w:tc>
          <w:tcPr>
            <w:tcW w:w="2455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>分子量</w:t>
            </w:r>
          </w:p>
        </w:tc>
        <w:tc>
          <w:tcPr>
            <w:tcW w:w="806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45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7A86268">
        <w:trPr>
          <w:trHeight w:val="406" w:hRule="atLeast"/>
        </w:trPr>
        <w:tc>
          <w:tcPr>
            <w:tcW w:w="2455" w:type="dxa"/>
            <w:vAlign w:val="center"/>
          </w:tcPr>
          <w:p w14:paraId="3B172A0B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 xml:space="preserve">折射率 </w:t>
            </w:r>
          </w:p>
        </w:tc>
        <w:tc>
          <w:tcPr>
            <w:tcW w:w="806" w:type="dxa"/>
            <w:vAlign w:val="center"/>
          </w:tcPr>
          <w:p w14:paraId="39A27FC4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45" w:type="dxa"/>
            <w:vAlign w:val="center"/>
          </w:tcPr>
          <w:p w14:paraId="449490DC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412F3B80">
        <w:trPr>
          <w:trHeight w:val="406" w:hRule="atLeast"/>
        </w:trPr>
        <w:tc>
          <w:tcPr>
            <w:tcW w:w="2455" w:type="dxa"/>
            <w:vAlign w:val="center"/>
          </w:tcPr>
          <w:p w14:paraId="7E0754D9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>密度</w:t>
            </w:r>
          </w:p>
        </w:tc>
        <w:tc>
          <w:tcPr>
            <w:tcW w:w="806" w:type="dxa"/>
            <w:vAlign w:val="center"/>
          </w:tcPr>
          <w:p w14:paraId="701CB17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g/cm</w:t>
            </w: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  <w:tc>
          <w:tcPr>
            <w:tcW w:w="1445" w:type="dxa"/>
            <w:vAlign w:val="center"/>
          </w:tcPr>
          <w:p w14:paraId="336E0460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2EBF27D1">
        <w:trPr>
          <w:trHeight w:val="406" w:hRule="atLeast"/>
        </w:trPr>
        <w:tc>
          <w:tcPr>
            <w:tcW w:w="2455" w:type="dxa"/>
            <w:vAlign w:val="center"/>
          </w:tcPr>
          <w:p w14:paraId="26D38B07">
            <w:pPr>
              <w:spacing w:before="0" w:after="20" w:line="240" w:lineRule="exact"/>
              <w:ind w:left="0" w:right="0"/>
              <w:jc w:val="left"/>
              <w:rPr>
                <w:rFonts w:hint="default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Cs/>
                <w:spacing w:val="-8"/>
                <w:sz w:val="18"/>
                <w:szCs w:val="18"/>
                <w:lang w:val="en-US" w:eastAsia="zh-CN"/>
              </w:rPr>
              <w:t>含水量</w:t>
            </w:r>
          </w:p>
        </w:tc>
        <w:tc>
          <w:tcPr>
            <w:tcW w:w="806" w:type="dxa"/>
            <w:vAlign w:val="center"/>
          </w:tcPr>
          <w:p w14:paraId="6C1A953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5" w:type="dxa"/>
            <w:vAlign w:val="center"/>
          </w:tcPr>
          <w:p w14:paraId="1BFD026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4B98DB2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使用方法</w:t>
      </w:r>
    </w:p>
    <w:p w14:paraId="1E1DED5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[使用方法]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主要应用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[应用]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[包装]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12E34E48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保质期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[贮存与保质期]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5F83507C">
      <w:pPr>
        <w:numPr>
          <w:numId w:val="0"/>
        </w:numPr>
        <w:spacing w:before="240" w:after="120"/>
        <w:ind w:right="0" w:rightChars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注意事项</w:t>
      </w:r>
    </w:p>
    <w:p w14:paraId="674A5561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[注意事项]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3EE2AC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  <w:t>详请参阅材料安全数据表（MSDS）。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b/>
          <w:bCs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b/>
          <w:bCs/>
          <w:i/>
          <w:iCs/>
          <w:lang w:val="en-US" w:eastAsia="zh-CN"/>
        </w:rPr>
        <w:t>特别说明</w:t>
      </w:r>
    </w:p>
    <w:p w14:paraId="368BD6AD">
      <w:pPr>
        <w:pStyle w:val="3"/>
        <w:spacing w:before="0"/>
        <w:ind w:left="0" w:right="0" w:firstLine="360" w:firstLineChars="200"/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>本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表物料均为</w:t>
      </w:r>
      <w:bookmarkStart w:id="3" w:name="_GoBack"/>
      <w:bookmarkEnd w:id="3"/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外部采购原料，分配我司内部物料编号，基础理化性能由上游供应商管控，供应商存在指标迭代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val="en-US" w:eastAsia="zh-CN"/>
        </w:rPr>
        <w:t>和参数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调整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val="en-US" w:eastAsia="zh-CN"/>
        </w:rPr>
        <w:t>的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可能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val="en-US" w:eastAsia="zh-CN"/>
        </w:rPr>
        <w:t>性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。</w:t>
      </w:r>
    </w:p>
    <w:p w14:paraId="161F4076">
      <w:pPr>
        <w:pStyle w:val="3"/>
        <w:spacing w:before="0"/>
        <w:ind w:left="0" w:right="0" w:firstLine="360" w:firstLineChars="20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本表数据仅作内部来料检验、配方研发、生产投料参考，不作为批量生产的最终依据。批量使用前需完成相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val="en-US" w:eastAsia="zh-CN"/>
        </w:rPr>
        <w:t>关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性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val="en-US" w:eastAsia="zh-CN"/>
        </w:rPr>
        <w:t>能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、储存稳定性、成品可靠性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val="en-US" w:eastAsia="zh-CN"/>
        </w:rPr>
        <w:t>等相关</w:t>
      </w:r>
      <w:r>
        <w:rPr>
          <w:rFonts w:hint="eastAsia" w:ascii="Roboto" w:hAnsi="Roboto" w:eastAsia="思源黑体 CN Regular" w:cs="Gill Sans MT"/>
          <w:b w:val="0"/>
          <w:bCs w:val="0"/>
          <w:i/>
          <w:iCs/>
          <w:lang w:eastAsia="zh-CN"/>
        </w:rPr>
        <w:t>验证。因未充分验证导致的各类质量、生产问题，由对应责任部门自行承担。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Raanana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243840</wp:posOffset>
              </wp:positionV>
              <wp:extent cx="3386455" cy="1240790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86455" cy="1240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XXX环氧树脂/环氧固化剂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9.2pt;height:97.7pt;width:266.65pt;mso-position-horizontal-relative:page;mso-position-vertical-relative:page;z-index:-251657216;mso-width-relative:page;mso-height-relative:page;" filled="f" stroked="f" coordsize="21600,21600" o:gfxdata="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xtkL3&#10;2wAAAAsBAAAPAAAAAAAAAAEAIAAAACIAAABkcnMvZG93bnJldi54bWxQSwECFAAUAAAACACHTuJA&#10;FOmQR+UBAADVAwAADgAAAAAAAAABACAAAAAqAQAAZHJzL2Uyb0RvYy54bWxQSwUGAAAAAAYABgBZ&#10;AQAAg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XXX环氧树脂/环氧固化剂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1"/>
    <w:bookmarkStart w:id="1" w:name="_Hlk108704076"/>
    <w:bookmarkStart w:id="2" w:name="OLE_LINK2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965200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6pt;height:0pt;width:506.8pt;z-index:251660288;mso-width-relative:page;mso-height-relative:page;" filled="f" stroked="t" coordsize="21600,21600" o:gfxdata="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4iN4t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highlight w:val="yellow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highlight w:val="yellow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highlight w:val="yellow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0BFFBE5A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9FD173"/>
    <w:rsid w:val="6CCC508C"/>
    <w:rsid w:val="6FFABAAA"/>
    <w:rsid w:val="6FFCDDDD"/>
    <w:rsid w:val="7BF65A1B"/>
    <w:rsid w:val="7BFE735F"/>
    <w:rsid w:val="7CF56209"/>
    <w:rsid w:val="7D8C7B74"/>
    <w:rsid w:val="7DFF73D4"/>
    <w:rsid w:val="7DFFBB79"/>
    <w:rsid w:val="7ECDF71B"/>
    <w:rsid w:val="7FBB265B"/>
    <w:rsid w:val="7FFBC0A0"/>
    <w:rsid w:val="87F3E7CA"/>
    <w:rsid w:val="97FBDAF7"/>
    <w:rsid w:val="B7F8140A"/>
    <w:rsid w:val="BE714CB0"/>
    <w:rsid w:val="DBBD718B"/>
    <w:rsid w:val="DE9FF722"/>
    <w:rsid w:val="EFBFA6E7"/>
    <w:rsid w:val="F77F17A2"/>
    <w:rsid w:val="F7BD5951"/>
    <w:rsid w:val="F7FCCEA8"/>
    <w:rsid w:val="F7FDF8E9"/>
    <w:rsid w:val="F9BD1612"/>
    <w:rsid w:val="F9D72F10"/>
    <w:rsid w:val="F9E311B1"/>
    <w:rsid w:val="FC69CC2C"/>
    <w:rsid w:val="FEEF1A88"/>
    <w:rsid w:val="FEEFA4E5"/>
    <w:rsid w:val="FF29206C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217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2025-12-23T06:11:00Z</dcterms:created>
  <dc:creator>amandine.yu@colltech.cn</dc:creator>
  <cp:lastModifiedBy>无与伦比的夏天</cp:lastModifiedBy>
  <cp:lastPrinted>2025-12-23T03:36:00Z</cp:lastPrinted>
  <dcterms:modified xsi:type="dcterms:W3CDTF">2026-07-23T17:10:42Z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