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pStyle w:val="Title"/>
        <w:jc w:val="center"/>
      </w:pPr>
      <w:r>
        <w:t xml:space="preserve">Лабораторная работа №1</w:t>
      </w:r>
    </w:p>
    <w:p>
      <w:pPr>
        <w:spacing w:after="160"/>
        <w:jc w:val="center"/>
      </w:pPr>
      <w:r>
        <w:rPr>
          <w:i/>
          <w:iCs/>
        </w:rPr>
        <w:t xml:space="preserve">«Запуск открытой модели text-to-image и фиксация воспроизводимого результата»</w:t>
      </w:r>
    </w:p>
    <w:p>
      <w:pPr>
        <w:spacing w:after="160"/>
        <w:jc w:val="center"/>
      </w:pPr>
      <w:r>
        <w:t xml:space="preserve">Дисциплина: «Искусственный интеллект в креативных технологиях»</w:t>
      </w:r>
    </w:p>
    <w:p>
      <w:pPr>
        <w:spacing w:after="160"/>
        <w:jc w:val="center"/>
      </w:pPr>
      <w:r>
        <w:rPr>
          <w:b/>
          <w:bCs/>
        </w:rPr>
        <w:t xml:space="preserve">Вариант 18 — Постер студенческого хакатона</w:t>
      </w:r>
    </w:p>
    <w:p>
      <w:pPr>
        <w:spacing w:after="160"/>
        <w:jc w:val="center"/>
      </w:pPr>
      <w:r>
        <w:t xml:space="preserve">Выполнил(а): </w:t>
      </w:r>
      <w:r>
        <w:rPr>
          <w:i/>
          <w:iCs/>
          <w:color w:val="C00000"/>
        </w:rPr>
        <w:t xml:space="preserve">[ФИО, группа]</w:t>
      </w:r>
    </w:p>
    <w:p>
      <w:pPr>
        <w:spacing w:after="160"/>
        <w:jc w:val="center"/>
      </w:pPr>
      <w:r>
        <w:t xml:space="preserve">Дата: 17.09.2026</w:t>
      </w:r>
    </w:p>
    <w:p>
      <w:pPr>
        <w:pStyle w:val="Heading1"/>
        <w:spacing w:after="160" w:before="300"/>
      </w:pPr>
      <w:r>
        <w:t xml:space="preserve">2. Цель, постановка задачи и критерии успешности</w:t>
      </w:r>
    </w:p>
    <w:p>
      <w:pPr>
        <w:spacing w:after="160"/>
      </w:pPr>
      <w:r>
        <w:t xml:space="preserve">Цель работы — получить один воспроизводимый результат генерации text-to-image для сценария «постер студенческого хакатона» и доказать происхождение каждого артефакта (изображения, манифеста, контрольной суммы).</w:t>
      </w:r>
    </w:p>
    <w:p>
      <w:pPr>
        <w:spacing w:after="160"/>
      </w:pPr>
      <w:r>
        <w:t xml:space="preserve">Задача варианта 18: изменяемый фактор — динамичная композиция, построенная без использования логотипов платформ и брендов. Обязательная проверка — точный повтор запуска с последующим сравнением по SHA-256.</w:t>
      </w:r>
    </w:p>
    <w:p>
      <w:pPr>
        <w:spacing w:after="160"/>
      </w:pPr>
      <w:r>
        <w:t xml:space="preserve">Критерии успешности: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Программа завершается без необработанного исключения и создаёт PNG 512×512 и manifest.json.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Два последовательных запуска с одинаковыми параметрами дают идентичный SHA-256 (побитовое совпадение) в пределах одной фиксированной среды.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Динамика композиции объяснена в отчёте через форму и свет, а не через текст или узнаваемую символику.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Логотипы платформ и товарные знаки в prompt и в итоговом изображении отсутствуют.</w:t>
      </w:r>
    </w:p>
    <w:p>
      <w:pPr>
        <w:pStyle w:val="Heading1"/>
        <w:spacing w:after="160" w:before="300"/>
      </w:pPr>
      <w:r>
        <w:t xml:space="preserve">3. Происхождение prompt, ограничения данных и лицензии</w:t>
      </w:r>
    </w:p>
    <w:p>
      <w:pPr>
        <w:spacing w:after="160"/>
      </w:pPr>
      <w:r>
        <w:t xml:space="preserve">Prompt сформулирован автором работы специально для данного задания; не содержит персональных данных, реальных лиц, товарных знаков и закрытых материалов заказчика:</w:t>
      </w:r>
    </w:p>
    <w:p>
      <w:pPr>
        <w:spacing w:after="160"/>
      </w:pPr>
      <w:r>
        <w:rPr>
          <w:i/>
          <w:iCs/>
        </w:rPr>
        <w:t xml:space="preserve">dynamic poster concept for a student hackathon, diagonal composition of abstract geometric shapes suggesting motion and speed, sharp light trails, energetic contrast between dark background and bright cyan-magenta accents, clean layout with empty space for a headline, no text, no logos, no brand marks, no people</w:t>
      </w:r>
    </w:p>
    <w:p>
      <w:pPr>
        <w:spacing w:after="160"/>
      </w:pPr>
      <w:r>
        <w:t xml:space="preserve">Ограничение варианта 18 «не использовать логотипы платформ» реализовано на уровне prompt (явные "no logos, no brand marks") и должно быть подтверждено визуальным осмотром итогового изображения — при наличии случайно сгенерированной похожей на логотип фигуры она подлежит перегенерации с иным seed и фиксации этого факта в отчёте.</w:t>
      </w:r>
    </w:p>
    <w:p>
      <w:pPr>
        <w:spacing w:after="160"/>
      </w:pPr>
      <w:r>
        <w:t xml:space="preserve">Модель </w:t>
      </w:r>
      <w:r>
        <w:rPr>
          <w:b/>
          <w:bCs/>
        </w:rPr>
        <w:t xml:space="preserve">stabilityai/sd-turbo</w:t>
      </w:r>
      <w:r>
        <w:t xml:space="preserve"> описана на карточке модели Hugging Face как исследовательский артефакт; условия коммерческого использования и Acceptable Use Policy Stability AI необходимо проверить отдельно перед публичным применением: </w:t>
      </w:r>
      <w:r>
        <w:rPr>
          <w:i/>
          <w:iCs/>
        </w:rPr>
        <w:t xml:space="preserve">https://huggingface.co/stabilityai/sd-turbo</w:t>
      </w:r>
      <w:r>
        <w:t xml:space="preserve">. Термин «открытая модель» означает доступность весов и документации для локального исследования и не эквивалентен соответствию критериям OSI.</w:t>
      </w:r>
    </w:p>
    <w:p>
      <w:pPr>
        <w:pStyle w:val="Heading1"/>
        <w:spacing w:after="160" w:before="300"/>
      </w:pPr>
      <w:r>
        <w:t xml:space="preserve">4. Среда, версии, модель, revision, устройство и параметры</w:t>
      </w:r>
    </w:p>
    <w:p>
      <w:pPr>
        <w:spacing w:after="160"/>
      </w:pPr>
      <w:r>
        <w:t xml:space="preserve">Зафиксированные параметры генерации: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7000"/>
            <w:shd w:fill="D9E2F3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model_id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stabilityai/sd-turbo</w:t>
            </w:r>
          </w:p>
        </w:tc>
      </w:tr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revision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b261bac6fd2cf515557d5d0707481eafa0485ec2</w:t>
            </w:r>
          </w:p>
        </w:tc>
      </w:tr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prompt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dynamic poster concept for a student hackathon, diagonal composition of abstract geometric shapes suggesting motion and speed, sharp light trails, energetic contrast between dark background and bright cyan-magenta accents, clean layout with empty space for a headline, no text, no logos, no brand marks, no people</w:t>
            </w:r>
          </w:p>
        </w:tc>
      </w:tr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seed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20260918</w:t>
            </w:r>
          </w:p>
        </w:tc>
      </w:tr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num_inference_steps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guidance_scale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0.0</w:t>
            </w:r>
          </w:p>
        </w:tc>
      </w:tr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height × width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512 × 512</w:t>
            </w:r>
          </w:p>
        </w:tc>
      </w:tr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dtype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torch.float32 (CPU) / torch.float16 (GPU, variant=fp16)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60"/>
      </w:pPr>
      <w:r>
        <w:t xml:space="preserve">Фактическая среда выполнения: </w:t>
      </w:r>
      <w:r>
        <w:t xml:space="preserve">macOS-15.5-arm64-arm-64bit-Mach-O, Python 3.14.2, PyTorch 2.14.0, Diffusers 0.40.0, Transformers 5.17.0, Accelerate 1.15.0, Safetensors 0.8.0, Hugging Face Hub 1.32.0 (torchvision не установлен — необязательная зависимость).</w:t>
      </w:r>
    </w:p>
    <w:p>
      <w:pPr>
        <w:spacing w:after="160"/>
      </w:pPr>
      <w:r>
        <w:t xml:space="preserve">Устройство (device): </w:t>
      </w:r>
      <w:r>
        <w:t xml:space="preserve">cpu (torch.cuda.is_available() = False на данной машине).</w:t>
      </w:r>
    </w:p>
    <w:p>
      <w:pPr>
        <w:spacing w:after="160"/>
      </w:pPr>
      <w:r>
        <w:t xml:space="preserve">Известное расхождение методических указаний (подтверждено предыдущей проверкой от 17.09.2026 и повторно фактической установкой в этой работе): связка diffusers==0.40.0 с transformers&gt;=4.51,&lt;5 не устанавливается — pip завершается ошибкой ResolutionImpossible, так как diffusers 0.40.0 требует huggingface-hub&gt;=1.23,&lt;2, а все версии transformers 4.x требуют huggingface-hub&lt;1. Рабочее решение — установить transformers&gt;=5,&lt;6 (фактически использована версия 5.17.0). Зафиксируйте фактически установленную версию transformers в environment.txt и отметьте расхождение в отчёте, не пытаясь силой поставить версию из методички.</w:t>
      </w:r>
    </w:p>
    <w:p>
      <w:pPr>
        <w:pStyle w:val="Heading1"/>
        <w:spacing w:after="160" w:before="300"/>
      </w:pPr>
      <w:r>
        <w:t xml:space="preserve">5. Ход работы, команда запуска и существенный код</w:t>
      </w:r>
    </w:p>
    <w:p>
      <w:pPr>
        <w:spacing w:after="160"/>
      </w:pPr>
      <w:r>
        <w:t xml:space="preserve">Структура проекта: data (описание входа), src (код), configs (параметры), artifacts (результаты), reports (окружение и логи). Каталоги .venv и кэш весов модели в сдаваемый архив не включаются.</w:t>
      </w:r>
    </w:p>
    <w:p>
      <w:pPr>
        <w:spacing w:after="160"/>
      </w:pPr>
      <w:r>
        <w:t xml:space="preserve">Команда установки окружения:</w:t>
      </w:r>
    </w:p>
    <w:p>
      <w:pPr>
        <w:spacing w:after="160"/>
      </w:pPr>
      <w:r>
        <w:rPr>
          <w:rFonts w:ascii="Consolas" w:cs="Consolas" w:eastAsia="Consolas" w:hAnsi="Consolas"/>
        </w:rPr>
        <w:t xml:space="preserve">python -m pip install "diffusers==0.40.0" "transformers&gt;=5,&lt;6" "accelerate&gt;=1.2,&lt;2" "safetensors&gt;=0.5,&lt;1" "Pillow&gt;=11,&lt;13"</w:t>
      </w:r>
    </w:p>
    <w:p>
      <w:pPr>
        <w:spacing w:after="200"/>
      </w:pPr>
      <w:r>
        <w:rPr>
          <w:i/>
          <w:iCs/>
          <w:color w:val="C00000"/>
        </w:rPr>
        <w:t xml:space="preserve">Примечание: связка diffusers==0.40.0 с transformers&gt;=4.51,&lt;5 из методички даёт pip-ошибку ResolutionImpossible (diffusers требует huggingface-hub&gt;=1.23, а transformers 4.x — huggingface-hub&lt;1); установлена совместимая версия transformers&gt;=5.</w:t>
      </w:r>
    </w:p>
    <w:p>
      <w:pPr>
        <w:spacing w:after="160"/>
      </w:pPr>
      <w:r>
        <w:t xml:space="preserve">Команда запуска (два прогона подряд, сравнение SHA-256 внутри самого скрипта):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export HF_HOME="$PWD/cache/huggingface"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python src/run_reproducibility.py 2&gt;&amp;1 | tee reports/run_console.log</w:t>
      </w:r>
    </w:p>
    <w:p>
      <w:pPr>
        <w:spacing w:after="160" w:before="160"/>
      </w:pPr>
      <w:r>
        <w:t xml:space="preserve">Существенная часть кода (генератор фиксируется на CPU для сопоставимости независимо от устройства инференса, seed = 20260918):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generator = torch.Generator(device="cpu").manual_seed(config["seed"])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image = pipeline(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prompt=config["prompt"], num_inference_steps=config["num_inference_steps"],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guidance_scale=config["guidance_scale"], height=config["height"], width=config["width"],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generator=generator,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).images[0]</w:t>
      </w:r>
    </w:p>
    <w:p>
      <w:pPr>
        <w:pStyle w:val="Heading1"/>
        <w:spacing w:after="160" w:before="300"/>
      </w:pPr>
      <w:r>
        <w:t xml:space="preserve">6. PNG, JSON, SHA-256 и результат повтора</w:t>
      </w:r>
    </w:p>
    <w:p>
      <w:pPr>
        <w:spacing w:after="160"/>
      </w:pPr>
      <w:r>
        <w:t xml:space="preserve">Результаты двух запусков: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0"/>
      </w:tblGrid>
      <w:tr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Проверка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Запуск 1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Запуск 2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Время генерации, с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19.952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15.356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Размер файла, байт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491363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491363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Размер изображения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512 × 512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512 × 512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Цветовой режим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RGB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RGB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SHA-256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f1d407e2efc93266f2503aab45d98e814359b4bd458d4d705fb67ce3208cea20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f1d407e2efc93266f2503aab45d98e814359b4bd458d4d705fb67ce3208cea20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60"/>
      </w:pPr>
      <w:r>
        <w:t xml:space="preserve">Побитовое сравнение: </w:t>
      </w:r>
      <w:r>
        <w:rPr>
          <w:b/>
          <w:bCs/>
        </w:rPr>
        <w:t xml:space="preserve">PASS</w:t>
      </w:r>
      <w:r>
        <w:t xml:space="preserve"> (exact_sha256_match = true, из reports/sha256_comparison.json).</w:t>
      </w:r>
    </w:p>
    <w:p>
      <w:pPr>
        <w:spacing w:after="160"/>
      </w:pPr>
      <w:r>
        <w:t xml:space="preserve">Итоговое изображение (result.png запуска 1) вставить сюда после генерации: </w:t>
      </w:r>
      <w:r>
        <w:rPr>
          <w:i/>
          <w:iCs/>
          <w:color w:val="C00000"/>
        </w:rPr>
        <w:t xml:space="preserve">[вставить изображение]</w:t>
      </w:r>
    </w:p>
    <w:p>
      <w:pPr>
        <w:pStyle w:val="Heading1"/>
        <w:spacing w:after="160" w:before="300"/>
      </w:pPr>
      <w:r>
        <w:t xml:space="preserve">7. Типовая ошибка, диагностика, ограничения и угрозы валидности</w:t>
      </w:r>
    </w:p>
    <w:p>
      <w:pPr>
        <w:spacing w:after="160"/>
      </w:pPr>
      <w:r>
        <w:t xml:space="preserve">Введённая ошибка (src/error_demo.py): torch.Generator(device="cuda") создаётся и используется на машине, где фактический инференс выполняется на CPU.</w:t>
      </w:r>
    </w:p>
    <w:p>
      <w:pPr>
        <w:spacing w:after="160"/>
      </w:pPr>
      <w:r>
        <w:t xml:space="preserve">Наблюдаемый симптом: </w:t>
      </w:r>
      <w:r>
        <w:rPr>
          <w:rFonts w:ascii="Consolas" w:cs="Consolas" w:eastAsia="Consolas" w:hAnsi="Consolas"/>
          <w:sz w:val="20"/>
          <w:szCs w:val="20"/>
        </w:rPr>
        <w:t xml:space="preserve">RuntimeError: Cannot get CUDA generator without ATen_cuda library.</w:t>
      </w:r>
    </w:p>
    <w:p>
      <w:pPr>
        <w:spacing w:after="160"/>
      </w:pPr>
      <w:r>
        <w:t xml:space="preserve">Полный текст исключения поясняет, что PyTorch разделён на CPU- и CUDA-библиотеки, и CUDA-библиотека не была загружена динамическим линковщиком — на данной машине (macOS, сборка PyTorch без CUDA) это ожидаемо. Показательно, что исключение возникает уже на этапе создания объекта torch.Generator(device="cuda"), то есть до вызова pipeline(...) — ошибка конфигурации обнаруживается раньше, чем можно было бы предположить по тексту методички.</w:t>
      </w:r>
    </w:p>
    <w:p>
      <w:pPr>
        <w:spacing w:after="160"/>
      </w:pPr>
      <w:r>
        <w:t xml:space="preserve">Диагностика: печать device и torch.cuda.is_available() показывает несоответствие между устройством генератора и устройством выполнения pipeline.</w:t>
      </w:r>
    </w:p>
    <w:p>
      <w:pPr>
        <w:spacing w:after="160"/>
      </w:pPr>
      <w:r>
        <w:t xml:space="preserve">Исправление: torch.Generator(device="cpu").manual_seed(seed) — как в основном скрипте — либо выбор устройства для Generator только после проверки доступности CUDA. После исправления неполный каталог запуска удаляется, и генерация выполняется заново.</w:t>
      </w:r>
    </w:p>
    <w:p>
      <w:pPr>
        <w:spacing w:after="160"/>
      </w:pPr>
      <w:r>
        <w:t xml:space="preserve">Границы вывода: результат подтверждает точное совпадение двух запусков только в рамках одной зафиксированной среды. Он не доказывает побитовую воспроизводимость между CPU и GPU, разными ОС, версиями библиотек или архитектурами ускорителей. Официальная документация PyTorch прямо предупреждает, что полная воспроизводимость между релизами и платформами не гарантируется.</w:t>
      </w:r>
    </w:p>
    <w:p>
      <w:pPr>
        <w:spacing w:after="160"/>
      </w:pPr>
      <w:r>
        <w:t xml:space="preserve">Загруженная конфигурация pipeline не содержит safety checker — это допустимо только для контролируемого учебного эксперимента с безопасным prompt; для открытого сервиса требуется отдельный фильтр и политика модерации.</w:t>
      </w:r>
    </w:p>
    <w:p>
      <w:pPr>
        <w:pStyle w:val="Heading1"/>
        <w:spacing w:after="160" w:before="300"/>
      </w:pPr>
      <w:r>
        <w:t xml:space="preserve">8. Вывод по цели</w:t>
      </w:r>
    </w:p>
    <w:p>
      <w:pPr>
        <w:spacing w:after="160"/>
      </w:pPr>
      <w:r>
        <w:t xml:space="preserve">Статус проверки: </w:t>
      </w:r>
      <w:r>
        <w:rPr>
          <w:b/>
          <w:bCs/>
        </w:rPr>
        <w:t xml:space="preserve">PASS</w:t>
      </w:r>
      <w:r>
        <w:t xml:space="preserve">. Цель работы достигнута: получен один воспроизводимый результат генерации text-to-image для сценария «постер студенческого хакатона» с зафиксированным происхождением (model_id, revision, prompt, seed, версии библиотек). Два последовательных запуска в одной CPU-среде (macOS, Python 3.14.2, PyTorch 2.14.0) дали побитово идентичные файлы (SHA-256 совпал), что подтверждает воспроизводимость в пределах данной фиксированной среды. Динамика композиции задана через форму (диагональные геометрические элементы) и свет (световые следы, контраст тёмного фона и ярких акцентов), без текста, логотипов и товарных знаков.</w:t>
      </w:r>
    </w:p>
    <w:p>
      <w:pPr>
        <w:pStyle w:val="Heading1"/>
        <w:spacing w:after="160" w:before="300"/>
      </w:pPr>
      <w:r>
        <w:t xml:space="preserve">9. Ссылка на архив/репозиторий и индивидуальный вклад</w:t>
      </w:r>
    </w:p>
    <w:p>
      <w:pPr>
        <w:spacing w:after="160"/>
      </w:pPr>
      <w:r>
        <w:t xml:space="preserve">Архив/репозиторий: </w:t>
      </w:r>
      <w:r>
        <w:rPr>
          <w:i/>
          <w:iCs/>
          <w:color w:val="C00000"/>
        </w:rPr>
        <w:t xml:space="preserve">[ссылка]</w:t>
      </w:r>
    </w:p>
    <w:p>
      <w:pPr>
        <w:spacing w:after="160"/>
      </w:pPr>
      <w:r>
        <w:t xml:space="preserve">Индивидуальный вклад: </w:t>
      </w:r>
      <w:r>
        <w:rPr>
          <w:i/>
          <w:iCs/>
          <w:color w:val="C00000"/>
        </w:rPr>
        <w:t xml:space="preserve">[если работа выполнена в одиночку — указать это явно]</w:t>
      </w:r>
    </w:p>
    <w:p>
      <w:pPr>
        <w:pStyle w:val="Heading1"/>
        <w:spacing w:after="160" w:before="300"/>
      </w:pPr>
      <w:r>
        <w:t xml:space="preserve">Приложение. Контрольные вопросы для защиты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Чем модель отличается от pipeline и пользовательского приложения?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Почему имя модели без revision недостаточно?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Что фиксирует seed и чего он не фиксирует?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Почему CPU Generator полезен для сопоставимости в Diffusers?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Что доказывает совпадение SHA-256, а что — нет?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Почему различие SHA-256 между CPU и GPU не обязательно означает ошибку?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Какие лицензионные и конфиденциальные ограничения применялись в варианте 18 (отсутствие логотипов платформ)?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2026-09-21T23:07:54.106Z</dcterms:created>
  <dcterms:modified xsi:type="dcterms:W3CDTF">2026-09-21T23:07:54.113Z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