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t>Дисциплина «Искусственный интеллект в креативных технологиях»</w:t>
      </w:r>
    </w:p>
    <w:p>
      <w:pPr>
        <w:jc w:val="center"/>
      </w:pPr>
      <w:r>
        <w:t>09.04.02 Информационные системы и технологии, семестр 1</w:t>
      </w:r>
    </w:p>
    <w:p/>
    <w:p>
      <w:pPr>
        <w:pStyle w:val="Title"/>
        <w:jc w:val="center"/>
      </w:pPr>
      <w:r>
        <w:rPr>
          <w:sz w:val="40"/>
        </w:rPr>
        <w:t>Отчёт по лабораторной работе № 5</w:t>
      </w:r>
    </w:p>
    <w:p>
      <w:pPr>
        <w:jc w:val="center"/>
      </w:pPr>
      <w:r>
        <w:rPr>
          <w:sz w:val="28"/>
        </w:rPr>
        <w:t>«Запуск открытой модели text-to-image»</w:t>
      </w:r>
    </w:p>
    <w:p/>
    <w:p>
      <w:pPr>
        <w:jc w:val="center"/>
      </w:pPr>
      <w:r>
        <w:rPr>
          <w:sz w:val="26"/>
        </w:rPr>
        <w:t>Вариант 18: постер научной выставки × одиночный запуск и первый элемент пакета из четырёх</w:t>
      </w:r>
    </w:p>
    <w:p/>
    <w:p/>
    <w:p/>
    <w:p/>
    <w:p/>
    <w:p/>
    <w:p>
      <w:pPr>
        <w:jc w:val="right"/>
      </w:pPr>
      <w:r>
        <w:rPr>
          <w:b/>
        </w:rPr>
        <w:t xml:space="preserve">Выполнил(а): </w:t>
      </w:r>
      <w:r>
        <w:t>Беспалый Максим Евгеньевич</w:t>
      </w:r>
    </w:p>
    <w:p>
      <w:pPr>
        <w:jc w:val="right"/>
      </w:pPr>
      <w:r>
        <w:rPr>
          <w:b/>
        </w:rPr>
        <w:t xml:space="preserve">Группа: </w:t>
      </w:r>
      <w:r>
        <w:t>Т26ИИКТ-МИК11</w:t>
      </w:r>
    </w:p>
    <w:p>
      <w:pPr>
        <w:jc w:val="right"/>
      </w:pPr>
      <w:r>
        <w:rPr>
          <w:b/>
        </w:rPr>
        <w:t xml:space="preserve">Проверил(а): </w:t>
      </w:r>
      <w:r>
        <w:t>Трубчик Ирина Степановна</w:t>
      </w:r>
    </w:p>
    <w:p>
      <w:pPr>
        <w:jc w:val="right"/>
      </w:pPr>
      <w:r>
        <w:rPr>
          <w:b/>
        </w:rPr>
        <w:t xml:space="preserve">Дата выполнения: </w:t>
      </w:r>
      <w:r>
        <w:t>15.10.2026</w:t>
      </w:r>
    </w:p>
    <w:p>
      <w:r>
        <w:br w:type="page"/>
      </w:r>
    </w:p>
    <w:p>
      <w:pPr>
        <w:pStyle w:val="Heading1"/>
      </w:pPr>
      <w:r>
        <w:t>2. Цель, бриф, условие, гипотеза и допуск</w:t>
      </w:r>
    </w:p>
    <w:p>
      <w:r>
        <w:rPr>
          <w:b/>
        </w:rPr>
        <w:t xml:space="preserve">Цель. </w:t>
      </w:r>
      <w:r>
        <w:t>Запустить открытую модель text-to-image по закреплённой ревизии и сохранить изображение с манифестом условий. Затем измеримо, а не по впечатлению, ответить на вопрос «воспроизводится ли результат» при изменении одного условия.</w:t>
      </w:r>
    </w:p>
    <w:p>
      <w:r>
        <w:rPr>
          <w:b/>
        </w:rPr>
        <w:t xml:space="preserve">Вариант 18: </w:t>
      </w:r>
      <w:r>
        <w:t>номер в журнале; N = (бриф − 1)·6 + условие: 18 = (3 − 1)·6 + 6. Бриф 3 — «постер научной выставки» (созвездие связанных узлов на тёмном фоне). Условие 6: A — одиночная генерация, B — первый элемент пакета из четырёх; seed 1000 + 18 = 1018.</w:t>
      </w:r>
    </w:p>
    <w:p>
      <w:r>
        <w:rPr>
          <w:b/>
        </w:rPr>
        <w:t xml:space="preserve">Порядок. </w:t>
      </w:r>
      <w:r>
        <w:t>Гипотеза и допуск записаны в журнал до первого запуска (reports/journal.md, 2026-10-15, шаг 2).</w:t>
      </w:r>
    </w:p>
    <w:p>
      <w:r>
        <w:rPr>
          <w:b/>
        </w:rPr>
        <w:t xml:space="preserve">Обоснование. </w:t>
      </w:r>
      <w:r>
        <w:t>В L.generate у каждого элемента пакета свой генератор на CPU (seed + i), поэтому начальный шум элемента 0 тот же, что у одиночного запуска. Меняется только форма тензоров. Для пакета 1 и пакета 4 библиотеки cuBLAS и cuDNN могут выбирать разные ядра и разный порядок суммирования, а в float16 это меняет младшие биты.</w:t>
      </w:r>
    </w:p>
    <w:p>
      <w:pPr>
        <w:pStyle w:val="ListBullet"/>
      </w:pPr>
      <w:r>
        <w:t>A и B не совпадут побитово;</w:t>
      </w:r>
    </w:p>
    <w:p>
      <w:pPr>
        <w:pStyle w:val="ListBullet"/>
      </w:pPr>
      <w:r>
        <w:t>различие — численный шум, а не смена содержания: PSNR ≥ 40 дБ, вердикт «close», max_diff — единицы или десятки уровней;</w:t>
      </w:r>
    </w:p>
    <w:p>
      <w:pPr>
        <w:pStyle w:val="ListBullet"/>
      </w:pPr>
      <w:r>
        <w:t>на обоих изображениях узлы и линии различимы на тёмном фоне;</w:t>
      </w:r>
    </w:p>
    <w:p>
      <w:pPr>
        <w:pStyle w:val="ListBullet"/>
      </w:pPr>
      <w:r>
        <w:t>повтор пакета из четырёх с тем же seed совпадёт побитово;</w:t>
      </w:r>
    </w:p>
    <w:p>
      <w:pPr>
        <w:pStyle w:val="ListBullet"/>
      </w:pPr>
      <w:r>
        <w:t>одинаковый явный шум во всех элементах пакета различие не устранит: его причина — вычисления.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Вердикт</w:t>
            </w:r>
          </w:p>
        </w:tc>
        <w:tc>
          <w:tcPr>
            <w:tcW w:type="dxa" w:w="595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Условие (допуск МУ, записан до запуска)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identical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побитовое совпадение пикселей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close — практически совпадают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PSNR ≥ 40 дБ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different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PSNR &lt; 40 дБ</w:t>
            </w:r>
          </w:p>
        </w:tc>
      </w:tr>
    </w:tbl>
    <w:p/>
    <w:p>
      <w:r>
        <w:rPr>
          <w:i/>
        </w:rPr>
        <w:t>Ожидание по PSNR направленное и опиралось на рассуждение. Общий диапазон 47–51 дБ для условия «пакет» указан в демо-журнале преподавателя без значений по вариантам; это оговорено в журнале.</w:t>
      </w:r>
    </w:p>
    <w:p>
      <w:pPr>
        <w:pStyle w:val="Heading1"/>
      </w:pPr>
      <w:r>
        <w:t>3. Данные, лицензия модели и ограничения</w:t>
      </w:r>
    </w:p>
    <w:p>
      <w:r>
        <w:t>Единственный вход — текст брифа 3 из списка BRIEFS библиотеки: «poster concept for a science exhibition, abstract constellation of connected nodes, dark background with white and cyan lines, balanced composition, no text, no logo». Реальных людей, логотипов и закрытых материалов нет.</w:t>
      </w:r>
    </w:p>
    <w:p>
      <w:r>
        <w:rPr>
          <w:b/>
        </w:rPr>
        <w:t xml:space="preserve">Лицензия модели: </w:t>
      </w:r>
      <w:r>
        <w:t>Stability AI Community License Agreement от 5 июля 2024 г. (LICENSE.md на ревизии b261bac6…). Коммерческое использование допускается для организаций с доходом менее 1 млн долларов в год после регистрации у правообладателя; при распространении нужно сохранять уведомление о лицензии и «Powered by Stability AI». Действует также Acceptable Use Policy. В работе модель используется в учебных некоммерческих целях. «Открытая модель» здесь означает доступность весов, а не соответствие критериям открытого ПО.</w:t>
      </w:r>
    </w:p>
    <w:p>
      <w:r>
        <w:rPr>
          <w:b/>
        </w:rPr>
        <w:t xml:space="preserve">Ограничения: </w:t>
      </w:r>
      <w:r>
        <w:t>изображение — декоративный образ: узлы и связи не отражают реальных данных, поэтому выдавать его за научную визуализацию нельзя. Safety checker в конфигурации модели отсутствует. Для учебного запуска с безопасным запросом это допустимо, для открытого сервиса — нет.</w:t>
      </w:r>
    </w:p>
    <w:p>
      <w:pPr>
        <w:pStyle w:val="Heading1"/>
      </w:pPr>
      <w:r>
        <w:t>4. Среда: Colab, GPU, версии, ревизия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6520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Среда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Google Colab, 2 сеанса на разных виртуальных машинах (eaef939c, 56b1382c)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GPU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Tesla T4, 15360 МиБ, драйвер 580.82.07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Python / ОС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3.13.15 / Linux-6.6.122+-x86_64-with-glibc2.39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torch / CUDA / cuDNN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2.11.0+cu130 / 13.0 / 9.27 (92700)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diffusers / transformers / accelerate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0.40.0 / 5.18.0 / 1.15.0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safetensors / Pillow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0.8.0 / 11.3.0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Модель и ревизия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stabilityai/sd-turbo @ b261bac6fd2cf515557d5d0707481eafa0485ec2, файлы fp16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lab05_lib.py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6447 байт, SHA-256 4eb17650… — совпадает с эталоном МУ (проверено в обоих сеансах)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Отличия от МУ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torch собран под CUDA 13.0 (cu130), а не 12.8; transformers 5.18.0, а не 5.16.1</w:t>
            </w:r>
          </w:p>
        </w:tc>
      </w:tr>
    </w:tbl>
    <w:p/>
    <w:p>
      <w:pPr>
        <w:pStyle w:val="Heading1"/>
      </w:pPr>
      <w:r>
        <w:t>5. Ход работы с фрагментами кода</w:t>
      </w:r>
    </w:p>
    <w:p>
      <w:r>
        <w:t>Блокнот notebook/lab05_v18.ipynb выполнен командой «Выполнить все» на T4. Ячейки: 1 — среда; 2 — %%writefile lab05_lib.py; 3 — сверка SHA-256 библиотеки; 4 — загрузка, прогрев, запуски A и B с result.png и manifest.json; 5 — variant_summary(pipe, 18); 6 — эксперименты E1–E5; 7 — намеренная ошибка; 8 — изображения, сводка, архив. Затем среда удалена и блокнот выполнен заново (сеанс 2).</w:t>
      </w:r>
    </w:p>
    <w:p>
      <w:pPr>
        <w:shd w:val="clear" w:fill="F2F2F2"/>
      </w:pPr>
      <w:r>
        <w:rPr>
          <w:rFonts w:ascii="Courier New" w:hAnsi="Courier New" w:eastAsia="Courier New"/>
          <w:sz w:val="18"/>
        </w:rPr>
        <w:t>pipe = L.load_pipe()                                   # sd-turbo @ b261bac6…, fp16, cuda</w:t>
        <w:br/>
        <w:t>A = L.generate(pipe, PROMPT, 1018)[0]                  # одиночный запуск</w:t>
        <w:br/>
        <w:t>B = L.generate(pipe, PROMPT, 1018, batch=4)[0]         # элемент 0 пакета (генераторы 1018…1021)</w:t>
        <w:br/>
        <w:t>vs = L.variant_summary(pipe, 18)                       # проверка библиотекой</w:t>
        <w:br/>
        <w:t># E3: одинаковый явный шум во всех элементах пакета</w:t>
        <w:br/>
        <w:t>lat = torch.randn((1, 4, 64, 64), generator=torch.Generator("cpu").manual_seed(1018), dtype=torch.float16)</w:t>
        <w:br/>
        <w:t>same4 = pipe(prompt=[PROMPT]*4, num_inference_steps=1, guidance_scale=0.0, latents=torch.cat([lat]*4).to("cuda")).images</w:t>
      </w:r>
    </w:p>
    <w:p>
      <w:r>
        <w:t>Дополнительно выполнена локальная проверка на CPU (macOS arm64, float32, torch 2.14.0) по кэшу модели из ЛР 4: src/cpu_batch_check.py.</w:t>
      </w:r>
    </w:p>
    <w:p>
      <w:pPr>
        <w:pStyle w:val="Heading1"/>
      </w:pPr>
      <w:r>
        <w:t>6. Результаты</w:t>
      </w:r>
    </w:p>
    <w:p>
      <w:pPr>
        <w:pStyle w:val="Heading2"/>
      </w:pPr>
      <w:r>
        <w:t>6.1. Манифест (A, сеанс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Поле манифеста</w:t>
            </w:r>
          </w:p>
        </w:tc>
        <w:tc>
          <w:tcPr>
            <w:tcW w:type="dxa" w:w="6236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model_id / revision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stabilityai/sd-turbo / b261bac6fd2cf515557d5d0707481eafa0485ec2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seed, steps, guidance_scale, size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1018, 1, 0,0, 512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generator_device, dtype, batch_size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cpu, float16, 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device / cuda / cudnn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Tesla T4 / 13.0 / 92700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load_seconds / generation_seconds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25.0 (сеанс 2 — 42,5) / 0.273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image_size, image_mode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[512, 512], RGB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sha256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38b03cfb71fd6fca99957c922915fd64f7377bf3e803600a2f44e83163bb9207</w:t>
            </w:r>
          </w:p>
        </w:tc>
      </w:tr>
    </w:tbl>
    <w:p/>
    <w:p>
      <w:r>
        <w:t>Манифест B (batch_size 4, batch_index 0) содержит те же поля; оба файла лежат в artifacts/colab/session*/v18/. Время генерации зависит от состояния GPU и в сравнение не входит.</w:t>
      </w:r>
    </w:p>
    <w:p>
      <w:pPr>
        <w:pStyle w:val="Heading2"/>
      </w:pPr>
      <w:r>
        <w:t>6.2. Таблица сравнения A и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fill="DCE3EE"/>
          </w:tcPr>
          <w:p>
            <w:r>
              <w:rPr>
                <w:b/>
              </w:rPr>
            </w:r>
          </w:p>
        </w:tc>
        <w:tc>
          <w:tcPr>
            <w:tcW w:type="dxa" w:w="340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Сеанс 1 (eaef939c)</w:t>
            </w:r>
          </w:p>
        </w:tc>
        <w:tc>
          <w:tcPr>
            <w:tcW w:type="dxa" w:w="3118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Сеанс 2 (56b1382c)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SHA-256 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38b03cfb71fd6fca…3bb9207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тот же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SHA-256 B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f76faa5876e03320…e091217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тот же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совпадение пикселей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нет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максимальное отличие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10 из 255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PSNR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51,24 дБ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51,24 дБ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вердикт по допуску 40 дБ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close — практически совпадают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close</w:t>
            </w:r>
          </w:p>
        </w:tc>
      </w:tr>
    </w:tbl>
    <w:p/>
    <w:p>
      <w:r>
        <w:t>variant_summary(pipe, 18) дал те же SHA A и B, max_diff и PSNR. Отличаются 57,3 % пикселей, но почти все на 1 уровень (136 173 пикселя из 262 144). На 5 и более уровней отличается 271 пиксель. Средняя яркость: 79,70 и 79,67.</w:t>
      </w:r>
    </w:p>
    <w:p>
      <w:pPr>
        <w:pStyle w:val="Heading2"/>
      </w:pPr>
      <w:r>
        <w:t>6.3. Изображения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87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A — одиночный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87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B — элемент 0 пакета из 4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87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ff_A_B_x25_gra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|A − B| ×25 (макс. по каналам)</w:t>
            </w:r>
          </w:p>
        </w:tc>
      </w:tr>
    </w:tbl>
    <w:p>
      <w:pPr>
        <w:jc w:val="center"/>
      </w:pPr>
      <w:r>
        <w:rPr>
          <w:i/>
          <w:sz w:val="20"/>
        </w:rPr>
        <w:t>Рисунок 1 — seed 1018, Tesla T4, float16. Разность распределена по всему кадру мелким шумом, без структуры сцены.</w:t>
      </w:r>
    </w:p>
    <w:p>
      <w:r>
        <w:rPr>
          <w:b/>
        </w:rPr>
        <w:t xml:space="preserve">Визуальная оценка (по заданию варианта). </w:t>
      </w:r>
      <w:r>
        <w:t>На A и B одна композиция: сеть светлых узлов, соединённых тонкими бело-бирюзовыми линиями, на тёмном сине-зелёном фоне, со сгущением в центре. Узлы и линии хорошо различимы на обоих изображениях; глазом отличия не видны. Текста, логотипов и людей нет.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87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_batch4_elem1_seed101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элемент 1 (seed 1019)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87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_batch4_elem2_seed102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элемент 2 (seed 1020)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87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_batch4_elem3_seed102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элемент 3 (seed 1021)</w:t>
            </w:r>
          </w:p>
        </w:tc>
      </w:tr>
    </w:tbl>
    <w:p>
      <w:pPr>
        <w:jc w:val="center"/>
      </w:pPr>
      <w:r>
        <w:rPr>
          <w:i/>
          <w:sz w:val="20"/>
        </w:rPr>
        <w:t>Рисунок 2 — остальные элементы пакета: разные seed дают разные композиции одного брифа.</w:t>
      </w:r>
    </w:p>
    <w:p>
      <w:pPr>
        <w:pStyle w:val="Heading1"/>
      </w:pPr>
      <w:r>
        <w:t>7. Анализ</w:t>
      </w:r>
    </w:p>
    <w:p>
      <w:pPr>
        <w:pStyle w:val="Heading2"/>
      </w:pPr>
      <w:r>
        <w:t>7.1. Причина различия: проверка отдельными экспериментами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Эксперимент</w:t>
            </w:r>
          </w:p>
        </w:tc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Что доказывает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E1: повтор пакета из 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все 4 элемента побитово совпали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при одной форме вычисления детерминированы — случайности нет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E2: элемент 0 при пакете 1/2/3/4/8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∞ / 51,43 / 51,38 / 51,24 / 50,98 дБ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различие появляется при любом пакете &gt; 1 и почти не зависит от его размера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E3: явный шум, 1 элемент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побитово = 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шум пакета воспроизведён точно, как в конвейере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E3: один и тот же шум ×4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элементы равны между собой; к A — 51,24 дБ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вход одинаков, различие только от формы пакета, т. е. от вычислений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E4: элементы 1–3 против seed+1…+3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51,73 / 49,99 / 50,56 дБ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эффект общий для всех элементов, а не особенность элемента 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E5: float32 на T4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max_diff 1; 79,76 дБ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в float32 эффект на ~28 дБ слабее: виновато накопление ошибок округления fp16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CPU, float32 (локально)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max_diff 1; 71,69 дБ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эффект есть и без GPU: это свойство вычислений с плавающей точкой</w:t>
            </w:r>
          </w:p>
        </w:tc>
      </w:tr>
    </w:tbl>
    <w:p/>
    <w:p>
      <w:r>
        <w:rPr>
          <w:b/>
        </w:rPr>
        <w:t xml:space="preserve">Вывод по причине. </w:t>
      </w:r>
      <w:r>
        <w:t>Различие возникает не в начальном шуме, а в вычислениях. Для пакета другой формы матричные умножения и свёртки выполняются другими ядрами (иное разбиение на блоки и порядок суммирования), а сложение с плавающей точкой не ассоциативно. В float16 мантисса короче, поэтому отличия в младших битах больше и после UNet и декодера VAE дают до 10 уровней на пиксель. При одинаковой форме вычисления повторяются бит в бит (E1, сеанс 2).</w:t>
      </w:r>
    </w:p>
    <w:p>
      <w:pPr>
        <w:pStyle w:val="Heading2"/>
      </w:pPr>
      <w:r>
        <w:t>7.2. Альтернативные объяснения</w:t>
      </w:r>
    </w:p>
    <w:p>
      <w:pPr>
        <w:pStyle w:val="ListBullet"/>
      </w:pPr>
      <w:r>
        <w:rPr>
          <w:b/>
        </w:rPr>
        <w:t xml:space="preserve">Разный начальный шум. </w:t>
      </w:r>
      <w:r>
        <w:t>Исключено E3: при явном одинаковом шуме различие то же (51,24 дБ).</w:t>
      </w:r>
    </w:p>
    <w:p>
      <w:pPr>
        <w:pStyle w:val="ListBullet"/>
      </w:pPr>
      <w:r>
        <w:rPr>
          <w:b/>
        </w:rPr>
        <w:t xml:space="preserve">Недетерминизм GPU (случайные гонки). </w:t>
      </w:r>
      <w:r>
        <w:t>Исключено E1 и сеансом 2: повторы побитово совпадают.</w:t>
      </w:r>
    </w:p>
    <w:p>
      <w:pPr>
        <w:pStyle w:val="ListBullet"/>
      </w:pPr>
      <w:r>
        <w:rPr>
          <w:b/>
        </w:rPr>
        <w:t xml:space="preserve">Особенность только GPU. </w:t>
      </w:r>
      <w:r>
        <w:t>Частично опровергнуто: на CPU в float32 различие тоже есть, но меньше. GPU и float16 его усиливают.</w:t>
      </w:r>
    </w:p>
    <w:p>
      <w:pPr>
        <w:pStyle w:val="ListBullet"/>
      </w:pPr>
      <w:r>
        <w:rPr>
          <w:b/>
        </w:rPr>
        <w:t xml:space="preserve">Ошибка в коде сравнения. </w:t>
      </w:r>
      <w:r>
        <w:t>Исключено: variant_summary из библиотеки МУ даёт те же SHA и PSNR, что ячейка 4.</w:t>
      </w:r>
    </w:p>
    <w:p>
      <w:pPr>
        <w:pStyle w:val="Heading2"/>
      </w:pPr>
      <w:r>
        <w:t>7.3. Намеренная ошибка на своём брифе</w:t>
      </w:r>
    </w:p>
    <w:p>
      <w:r>
        <w:rPr>
          <w:b/>
        </w:rPr>
        <w:t xml:space="preserve">Симптом: </w:t>
      </w:r>
      <w:r>
        <w:t>один объект Generator создан один раз и передан в два вызова. Первый вызов совпал с A (38b03cfb…), второй — нет (1f08c39c…). PSNR между ними 12,7 дБ: это другое изображение, а не «почти то же».</w:t>
      </w:r>
    </w:p>
    <w:p>
      <w:r>
        <w:rPr>
          <w:b/>
        </w:rPr>
        <w:t xml:space="preserve">Диагностика: </w:t>
      </w:r>
      <w:r>
        <w:t>после первого вызова состояние генератора сдвигается, и второй вызов получает другой шум. Сравнение SHA с эталоном показывает, какой из запусков «уехал».</w:t>
      </w:r>
    </w:p>
    <w:p>
      <w:r>
        <w:rPr>
          <w:b/>
        </w:rPr>
        <w:t xml:space="preserve">Исправление: </w:t>
      </w:r>
      <w:r>
        <w:t>создавать генератор заново в каждом запуске (так устроена L.generate). Проверено: после исправления результат снова совпадает с 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эталон A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ror_shared_generator_run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2-й вызов с общим генератором</w:t>
            </w:r>
          </w:p>
        </w:tc>
      </w:tr>
    </w:tbl>
    <w:p>
      <w:pPr>
        <w:jc w:val="center"/>
      </w:pPr>
      <w:r>
        <w:rPr>
          <w:i/>
          <w:sz w:val="20"/>
        </w:rPr>
        <w:t>Рисунок 3 — ошибка общего генератора: тот же бриф, но другая композиция (PSNR 12,7 дБ).</w:t>
      </w:r>
    </w:p>
    <w:p>
      <w:pPr>
        <w:pStyle w:val="Heading2"/>
      </w:pPr>
      <w:r>
        <w:t>7.4. Границы воспроизводимости и угрозы валидности</w:t>
      </w:r>
    </w:p>
    <w:p>
      <w:pPr>
        <w:pStyle w:val="ListBullet"/>
      </w:pPr>
      <w:r>
        <w:t>Воспроизводимость подтверждена на одной модели GPU (T4) и одной сборке (torch 2.11.0+cu130, cuDNN 9.27) — в двух сеансах на разных виртуальных машинах.</w:t>
      </w:r>
    </w:p>
    <w:p>
      <w:pPr>
        <w:pStyle w:val="ListBullet"/>
      </w:pPr>
      <w:r>
        <w:t>Другая видеокарта, версия CUDA или cuDNN может выбрать другие ядра, и SHA-256 изменится. Документация PyTorch этого не гарантирует.</w:t>
      </w:r>
    </w:p>
    <w:p>
      <w:pPr>
        <w:pStyle w:val="ListBullet"/>
      </w:pPr>
      <w:r>
        <w:t>Версии в Colab отличаются от МУ (cu130, transformers 5.18.0). Результат относится к зафиксированной среде, а не к среде МУ.</w:t>
      </w:r>
    </w:p>
    <w:p>
      <w:pPr>
        <w:pStyle w:val="ListBullet"/>
      </w:pPr>
      <w:r>
        <w:t>Один бриф и один seed. Для других seed различие пакетов того же порядка (E4: 50–52 дБ), но это 4 точки, а не статистика.</w:t>
      </w:r>
    </w:p>
    <w:p>
      <w:pPr>
        <w:pStyle w:val="ListBullet"/>
      </w:pPr>
      <w:r>
        <w:t>PSNR — численная мера. Вывод «практически совпадают» дан по допуску 40 дБ, а не по восприятию; восприятие оценено отдельно, глазами.</w:t>
      </w:r>
    </w:p>
    <w:p>
      <w:r>
        <w:rPr>
          <w:b/>
        </w:rPr>
        <w:t xml:space="preserve">Практический вывод. </w:t>
      </w:r>
      <w:r>
        <w:t>Для медиапроизводства пакетная генерация приемлема, если эталоном служит конкретный файл: его SHA-256 записан в манифест, а повторная генерация не требуется. Если нужна побитовая повторяемость (например, для проверки или аудита), размер пакета нужно записывать в паспорт как параметр наравне с seed.</w:t>
      </w:r>
    </w:p>
    <w:p>
      <w:pPr>
        <w:pStyle w:val="Heading1"/>
      </w:pPr>
      <w:r>
        <w:t>8. Вывод</w:t>
      </w:r>
    </w:p>
    <w:p>
      <w:r>
        <w:t>Цель достигнута. Модель stabilityai/sd-turbo запущена по закреплённой ревизии на Tesla T4; result.png и manifest.json сохранены для обоих условий. Одиночная генерация и первый элемент пакета из четырёх при seed 1018 не совпадают побитово (max_diff 10), но практически совпадают: PSNR 51,24 дБ ≥ 40 дБ, вердикт «close». Узлы и линии различимы на обоих изображениях. Причина проверена отдельными экспериментами: шум одинаков, различие даёт форма пакета через порядок вычислений, а float16 его усиливает (в float32 — 79,8 дБ). Внутри одной формы и между двумя сеансами результат воспроизводится бит в бит. Все пять пунктов гипотезы подтверждены. Типовая ошибка (общий генератор) воспроизведена и исправлена. Вывод ограничен проверенной средой: T4, torch 2.11.0+cu130, один бриф и один seed.</w:t>
      </w:r>
    </w:p>
    <w:p>
      <w:pPr>
        <w:pStyle w:val="Heading1"/>
      </w:pPr>
      <w:r>
        <w:t>9. Блокнот, файлы и индивидуальный вклад</w:t>
      </w:r>
    </w:p>
    <w:p>
      <w:r>
        <w:rPr>
          <w:b/>
        </w:rPr>
        <w:t xml:space="preserve">Блокнот: </w:t>
      </w:r>
      <w:r>
        <w:t>notebook/lab05_v18.ipynb (исходный), notebook/executed/lab05_v18_session1.ipynb и …_session2.ipynb (с выводом).</w:t>
      </w:r>
    </w:p>
    <w:p>
      <w:r>
        <w:rPr>
          <w:b/>
        </w:rPr>
        <w:t xml:space="preserve">Файлы: </w:t>
      </w:r>
      <w:r>
        <w:t>artifacts/colab/session1, session2 (result.png и manifest.json для A и B, элементы пакета, ошибка, сводки), artifacts/cpu_check, reports/journal.md, reports/passport_v18.md.</w:t>
      </w:r>
    </w:p>
    <w:p>
      <w:r>
        <w:rPr>
          <w:b/>
        </w:rPr>
        <w:t xml:space="preserve">Папка на Я.Диске: </w:t>
      </w:r>
      <w:r>
        <w:t>https://disk.yandex.ru/d/eBmt2bOE_0jBPA</w:t>
      </w:r>
    </w:p>
    <w:p>
      <w:r>
        <w:rPr>
          <w:b/>
        </w:rPr>
        <w:t xml:space="preserve">Индивидуальный вклад: </w:t>
      </w:r>
      <w:r>
        <w:t>работа выполнена индивидуально.</w:t>
      </w:r>
    </w:p>
    <w:p>
      <w:pPr>
        <w:pStyle w:val="Heading1"/>
      </w:pPr>
      <w:r>
        <w:t>Приложение. Ответы на контрольные вопросы</w:t>
      </w:r>
    </w:p>
    <w:p>
      <w:r>
        <w:rPr>
          <w:b/>
        </w:rPr>
        <w:t>1. Чем модель отличается от конвейера и от пользовательского приложения?</w:t>
      </w:r>
    </w:p>
    <w:p>
      <w:r>
        <w:t>Модель — это веса и архитектура (текстовый кодировщик, UNet, VAE) конкретной ревизии. Конвейер (AutoPipelineForText2Image) соединяет их с планировщиком и параметрами: шаги, guidance, размер, генератор. Приложение добавляет интерфейс, модерацию и хранение. В работе использован конвейер без приложения.</w:t>
      </w:r>
    </w:p>
    <w:p>
      <w:r>
        <w:rPr>
          <w:b/>
        </w:rPr>
        <w:t>2. Почему имя модели без ревизии недостаточно для воспроизведения?</w:t>
      </w:r>
    </w:p>
    <w:p>
      <w:r>
        <w:t>Имя указывает на ветку репозитория, которая может обновиться. Ревизия b261bac6… — неизменный снимок файлов. Без неё через полгода под тем же именем могут оказаться другие веса.</w:t>
      </w:r>
    </w:p>
    <w:p>
      <w:r>
        <w:rPr>
          <w:b/>
        </w:rPr>
        <w:t>3. Что фиксирует seed и чего он не фиксирует?</w:t>
      </w:r>
    </w:p>
    <w:p>
      <w:r>
        <w:t>Seed фиксирует начальное состояние генератора, то есть начальный шум, при неизменных устройстве генератора и типе данных. Он не фиксирует порядок вычислений: в этой работе при одном seed одиночный запуск и пакет дали разные биты (51,24 дБ). Не фиксирует он и версии библиотек, GPU, тип вычислений.</w:t>
      </w:r>
    </w:p>
    <w:p>
      <w:r>
        <w:rPr>
          <w:b/>
        </w:rPr>
        <w:t>4. Почему Diffusers рекомендует генератор на CPU?</w:t>
      </w:r>
    </w:p>
    <w:p>
      <w:r>
        <w:t>Генераторы CPU и GPU выдают разные числа при одном seed. Шум на CPU одинаков на любой машине и для любого GPU, поэтому различия остаются только в вычислениях модели. В работе шум элемента пакета воспроизведён на CPU побитово (E3).</w:t>
      </w:r>
    </w:p>
    <w:p>
      <w:r>
        <w:rPr>
          <w:b/>
        </w:rPr>
        <w:t>5. Почему один объект Generator в двух запусках даёт разные изображения? Что показала проверка?</w:t>
      </w:r>
    </w:p>
    <w:p>
      <w:r>
        <w:t>Generator хранит состояние, которое сдвигается после первой выборки шума, поэтому второй запуск получает другой шум. Проверка: первый вызов совпал с эталоном, второй — нет, PSNR 12,7 дБ, то есть совсем другая композиция.</w:t>
      </w:r>
    </w:p>
    <w:p>
      <w:r>
        <w:rPr>
          <w:b/>
        </w:rPr>
        <w:t>6. Что доказывает совпадение SHA-256 двух файлов, а что не доказывает?</w:t>
      </w:r>
    </w:p>
    <w:p>
      <w:r>
        <w:t>Доказывает побитовое совпадение файлов, а значит, и пикселей: например, A в двух сеансах. Не доказывает качество, соответствие брифу и воспроизводимость на другой машине. Несовпадение не означает «плохой» результат: A и B различны по SHA, но практически совпадают.</w:t>
      </w:r>
    </w:p>
    <w:p>
      <w:r>
        <w:rPr>
          <w:b/>
        </w:rPr>
        <w:t>7. PSNR при MSE = 65,025 на шкале 0…255?</w:t>
      </w:r>
    </w:p>
    <w:p>
      <w:r>
        <w:t>PSNR = 10·lg(255² / 65,025) = 10·lg(65 025 / 65,025) = 10·lg 1000 = 30 дБ.</w:t>
      </w:r>
    </w:p>
    <w:p>
      <w:r>
        <w:rPr>
          <w:b/>
        </w:rPr>
        <w:t>8. Почему при смене float16 на float32 и одном seed изображения различны? Как проверить причину?</w:t>
      </w:r>
    </w:p>
    <w:p>
      <w:r>
        <w:t>torch.randn для float16 и float32 выдаёт разные числа даже при одном seed, поэтому меняется начальный шум. Проверка — generate_fixed_noise: шум строится в float32 и приводится к типу вычислений; тогда различие падает до 37–51 дБ (данные МУ). В моём эксперименте E5 шум был один и тот же, поэтому различие одиночного запуска и пакета в float32 составило лишь 79,8 дБ.</w:t>
      </w:r>
    </w:p>
    <w:p>
      <w:r>
        <w:rPr>
          <w:b/>
        </w:rPr>
        <w:t>9. Какие лицензионные условия применимы к запуску и что указать в отчёте?</w:t>
      </w:r>
    </w:p>
    <w:p>
      <w:r>
        <w:t>Stability AI Community License (5 июля 2024 г.) и Acceptable Use Policy. В отчёте указаны ссылка на лицензию и ревизию, учебная некоммерческая цель, отсутствие людей и логотипов в запросе. При распространении нужно сохранить уведомление о лицензии и «Powered by Stability AI»; коммерческое использование требует регистрации и ограничено по доходу.</w:t>
      </w:r>
    </w:p>
    <w:p>
      <w:r>
        <w:rPr>
          <w:b/>
        </w:rPr>
        <w:t>10. Что изменить в паспорте, если запуск повторён на другой видеокарте?</w:t>
      </w:r>
    </w:p>
    <w:p>
      <w:r>
        <w:t>Записать модель GPU, драйвер, версии CUDA, cuDNN и torch. Пересчитать SHA-256 и сравнить с эталоном уже по допуску (PSNR ≥ 40 дБ), а не побитово. Явно указать, что побитовое совпадение подтверждено только для исходной среды. Размер пакета тоже должен быть в паспорте: как показала эта работа, он влияет на биты.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