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مطرانية جبيل والبترون وما يليهما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(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جبل لبنان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)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للروم الارثوذكس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برمانا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كنيسة رئيس الملائكة ميخائيل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انطلياس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هاتف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: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٠٤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/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٧٢٢٤٦٤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شهادة معمودية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بعد الاطلاع على سجل العماد في كنيسة رئيس الملائكة ميخائيل في انطلياس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لبنان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t xml:space="preserve">تبين أن الإبنة مارك  جون  سمعان  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t>قد اقتبلت سر المعمودية في بتاريخ ١٢-٣٣-٢٣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t>و كان الكاهن المعمد الأب جبران فيعاني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t>والعراب جون سميث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t>والعرابة سميرة توفيق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t>ورقم التسجيل 134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t xml:space="preserve">في السجل رقم 2 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t>المولودة في بتاريخ ١٢-٣٣-٢٣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وكان بناء على طلبها أُعطيت لها هذه الشهادة للعمل بها حيث يلزم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righ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انطلياس في</w:t>
      </w:r>
    </w:p>
    <w:p>
      <w:pPr>
        <w:pStyle w:val="Body A"/>
        <w:bidi w:val="1"/>
        <w:ind w:left="0" w:right="0" w:firstLine="0"/>
        <w:jc w:val="righ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الأب جريس بو سابا</w:t>
      </w:r>
    </w:p>
    <w:p>
      <w:pPr>
        <w:pStyle w:val="Body A"/>
        <w:bidi w:val="1"/>
        <w:ind w:left="0" w:right="0" w:firstLine="0"/>
        <w:jc w:val="righ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كاهن رعية رئيس الملائكة ميخائيل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انطلياس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righ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التوقيع</w:t>
      </w:r>
    </w:p>
    <w:p>
      <w:pPr>
        <w:pStyle w:val="Body A"/>
        <w:bidi w:val="1"/>
        <w:ind w:left="0" w:right="0" w:firstLine="0"/>
        <w:jc w:val="righ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للمصادقة على صحة هذا التوقيع في</w:t>
      </w:r>
    </w:p>
    <w:p>
      <w:pPr>
        <w:pStyle w:val="Body A"/>
        <w:bidi w:val="1"/>
        <w:ind w:left="0" w:right="0" w:firstLine="0"/>
        <w:jc w:val="right"/>
        <w:rPr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مطران جبيل والبترون وما يليهما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(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جبل لبنان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dobe Arabi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ar-SA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