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EC0A" w14:textId="10E6E517" w:rsidR="00AA4D81" w:rsidRPr="002B401A" w:rsidRDefault="00BE5877" w:rsidP="00BE5877">
      <w:pPr>
        <w:jc w:val="center"/>
        <w:rPr>
          <w:b/>
          <w:bCs/>
          <w:sz w:val="36"/>
          <w:szCs w:val="36"/>
        </w:rPr>
      </w:pPr>
      <w:r w:rsidRPr="002B401A">
        <w:rPr>
          <w:b/>
          <w:bCs/>
          <w:sz w:val="36"/>
          <w:szCs w:val="36"/>
        </w:rPr>
        <w:t>C</w:t>
      </w:r>
      <w:r w:rsidR="00AE6F8B" w:rsidRPr="002B401A">
        <w:rPr>
          <w:b/>
          <w:bCs/>
          <w:sz w:val="36"/>
          <w:szCs w:val="36"/>
        </w:rPr>
        <w:t xml:space="preserve">ollege Salaries </w:t>
      </w:r>
    </w:p>
    <w:p w14:paraId="6F9A9BC0" w14:textId="166326E8" w:rsidR="00AE6F8B" w:rsidRDefault="00AE6F8B" w:rsidP="00BE5877">
      <w:pPr>
        <w:jc w:val="center"/>
        <w:rPr>
          <w:b/>
          <w:bCs/>
        </w:rPr>
      </w:pPr>
    </w:p>
    <w:p w14:paraId="35925ACD" w14:textId="147E30C5" w:rsidR="006655D7" w:rsidRDefault="00C859DF" w:rsidP="00C859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</w:t>
      </w:r>
    </w:p>
    <w:p w14:paraId="109F4346" w14:textId="5E67B1C8" w:rsidR="00BC3428" w:rsidRPr="00BC3428" w:rsidRDefault="00BC3428" w:rsidP="002B401A">
      <w:pPr>
        <w:ind w:left="360"/>
        <w:rPr>
          <w:rFonts w:ascii="Calibri" w:eastAsia="Times New Roman" w:hAnsi="Calibri" w:cs="Calibri"/>
        </w:rPr>
      </w:pPr>
      <w:r w:rsidRPr="00BC3428">
        <w:rPr>
          <w:rFonts w:ascii="Calibri" w:eastAsia="Times New Roman" w:hAnsi="Calibri" w:cs="Calibri"/>
        </w:rPr>
        <w:t>Students must account for many factors when deciding where to attend college. From personal experience, proximity to home, expected tuition costs, and enrollment</w:t>
      </w:r>
      <w:r w:rsidR="3971FC83" w:rsidRPr="378ADC3F">
        <w:rPr>
          <w:rFonts w:ascii="Calibri" w:eastAsia="Times New Roman" w:hAnsi="Calibri" w:cs="Calibri"/>
        </w:rPr>
        <w:t>.</w:t>
      </w:r>
      <w:r w:rsidRPr="00BC3428">
        <w:rPr>
          <w:rFonts w:ascii="Calibri" w:eastAsia="Times New Roman" w:hAnsi="Calibri" w:cs="Calibri"/>
        </w:rPr>
        <w:t> Statistics and analysis can play a major role in determining how students spend their undergraduate years. </w:t>
      </w:r>
      <w:r w:rsidR="39234525" w:rsidRPr="090EA6D2">
        <w:rPr>
          <w:rFonts w:ascii="Calibri" w:eastAsia="Times New Roman" w:hAnsi="Calibri" w:cs="Calibri"/>
        </w:rPr>
        <w:t xml:space="preserve">One item on many students’ </w:t>
      </w:r>
      <w:r w:rsidR="39234525" w:rsidRPr="33905742">
        <w:rPr>
          <w:rFonts w:ascii="Calibri" w:eastAsia="Times New Roman" w:hAnsi="Calibri" w:cs="Calibri"/>
        </w:rPr>
        <w:t>mind</w:t>
      </w:r>
      <w:r w:rsidR="3C83C300" w:rsidRPr="33905742">
        <w:rPr>
          <w:rFonts w:ascii="Calibri" w:eastAsia="Times New Roman" w:hAnsi="Calibri" w:cs="Calibri"/>
        </w:rPr>
        <w:t>s</w:t>
      </w:r>
      <w:r w:rsidR="39234525" w:rsidRPr="090EA6D2">
        <w:rPr>
          <w:rFonts w:ascii="Calibri" w:eastAsia="Times New Roman" w:hAnsi="Calibri" w:cs="Calibri"/>
        </w:rPr>
        <w:t xml:space="preserve"> is </w:t>
      </w:r>
      <w:r w:rsidR="39234525" w:rsidRPr="70A121C9">
        <w:rPr>
          <w:rFonts w:ascii="Calibri" w:eastAsia="Times New Roman" w:hAnsi="Calibri" w:cs="Calibri"/>
        </w:rPr>
        <w:t>the</w:t>
      </w:r>
      <w:r w:rsidR="3546CB9F" w:rsidRPr="70A121C9">
        <w:rPr>
          <w:rFonts w:ascii="Calibri" w:eastAsia="Times New Roman" w:hAnsi="Calibri" w:cs="Calibri"/>
        </w:rPr>
        <w:t>ir potential</w:t>
      </w:r>
      <w:r w:rsidR="39234525" w:rsidRPr="70A121C9">
        <w:rPr>
          <w:rFonts w:ascii="Calibri" w:eastAsia="Times New Roman" w:hAnsi="Calibri" w:cs="Calibri"/>
        </w:rPr>
        <w:t xml:space="preserve"> earning</w:t>
      </w:r>
      <w:r w:rsidR="482070AB" w:rsidRPr="70A121C9">
        <w:rPr>
          <w:rFonts w:ascii="Calibri" w:eastAsia="Times New Roman" w:hAnsi="Calibri" w:cs="Calibri"/>
        </w:rPr>
        <w:t>s</w:t>
      </w:r>
      <w:r w:rsidR="39234525" w:rsidRPr="090EA6D2">
        <w:rPr>
          <w:rFonts w:ascii="Calibri" w:eastAsia="Times New Roman" w:hAnsi="Calibri" w:cs="Calibri"/>
        </w:rPr>
        <w:t xml:space="preserve"> </w:t>
      </w:r>
      <w:r w:rsidR="09F71268" w:rsidRPr="090EA6D2">
        <w:rPr>
          <w:rFonts w:ascii="Calibri" w:eastAsia="Times New Roman" w:hAnsi="Calibri" w:cs="Calibri"/>
        </w:rPr>
        <w:t xml:space="preserve">their degree </w:t>
      </w:r>
      <w:r w:rsidR="001C0230">
        <w:rPr>
          <w:rFonts w:ascii="Calibri" w:eastAsia="Times New Roman" w:hAnsi="Calibri" w:cs="Calibri"/>
        </w:rPr>
        <w:t>will</w:t>
      </w:r>
      <w:r w:rsidR="09F71268" w:rsidRPr="090EA6D2">
        <w:rPr>
          <w:rFonts w:ascii="Calibri" w:eastAsia="Times New Roman" w:hAnsi="Calibri" w:cs="Calibri"/>
        </w:rPr>
        <w:t xml:space="preserve"> provide </w:t>
      </w:r>
      <w:r w:rsidR="26EA97C6" w:rsidRPr="70A121C9">
        <w:rPr>
          <w:rFonts w:ascii="Calibri" w:eastAsia="Times New Roman" w:hAnsi="Calibri" w:cs="Calibri"/>
        </w:rPr>
        <w:t>after</w:t>
      </w:r>
      <w:r w:rsidR="09F71268" w:rsidRPr="090EA6D2">
        <w:rPr>
          <w:rFonts w:ascii="Calibri" w:eastAsia="Times New Roman" w:hAnsi="Calibri" w:cs="Calibri"/>
        </w:rPr>
        <w:t xml:space="preserve"> graduation</w:t>
      </w:r>
      <w:r w:rsidR="09F71268" w:rsidRPr="70A121C9">
        <w:rPr>
          <w:rFonts w:ascii="Calibri" w:eastAsia="Times New Roman" w:hAnsi="Calibri" w:cs="Calibri"/>
        </w:rPr>
        <w:t>.</w:t>
      </w:r>
      <w:r w:rsidR="09F71268" w:rsidRPr="090EA6D2">
        <w:rPr>
          <w:rFonts w:ascii="Calibri" w:eastAsia="Times New Roman" w:hAnsi="Calibri" w:cs="Calibri"/>
        </w:rPr>
        <w:t xml:space="preserve"> </w:t>
      </w:r>
      <w:r w:rsidRPr="00BC3428">
        <w:rPr>
          <w:rFonts w:ascii="Calibri" w:eastAsia="Times New Roman" w:hAnsi="Calibri" w:cs="Calibri"/>
        </w:rPr>
        <w:t>While the “college experience” cannot necessarily be quantified, there are data points available to offer insight on the </w:t>
      </w:r>
      <w:r w:rsidR="00F67215">
        <w:rPr>
          <w:rFonts w:ascii="Calibri" w:eastAsia="Times New Roman" w:hAnsi="Calibri" w:cs="Calibri"/>
        </w:rPr>
        <w:t>salary</w:t>
      </w:r>
      <w:r w:rsidRPr="00BC3428">
        <w:rPr>
          <w:rFonts w:ascii="Calibri" w:eastAsia="Times New Roman" w:hAnsi="Calibri" w:cs="Calibri"/>
        </w:rPr>
        <w:t xml:space="preserve"> students can expect to earn with a degree from a given </w:t>
      </w:r>
      <w:r w:rsidR="004572E4">
        <w:rPr>
          <w:rFonts w:ascii="Calibri" w:eastAsia="Times New Roman" w:hAnsi="Calibri" w:cs="Calibri"/>
        </w:rPr>
        <w:t xml:space="preserve">conference and </w:t>
      </w:r>
      <w:r w:rsidRPr="00BC3428">
        <w:rPr>
          <w:rFonts w:ascii="Calibri" w:eastAsia="Times New Roman" w:hAnsi="Calibri" w:cs="Calibri"/>
        </w:rPr>
        <w:t xml:space="preserve">institution based on historical figures. </w:t>
      </w:r>
    </w:p>
    <w:p w14:paraId="4A5372C7" w14:textId="77777777" w:rsidR="00C859DF" w:rsidRPr="008F6245" w:rsidRDefault="00C859DF" w:rsidP="008F6245">
      <w:pPr>
        <w:rPr>
          <w:b/>
          <w:bCs/>
        </w:rPr>
      </w:pPr>
    </w:p>
    <w:p w14:paraId="51678371" w14:textId="25908AEA" w:rsidR="00C859DF" w:rsidRPr="002B401A" w:rsidRDefault="002B401A" w:rsidP="002B401A">
      <w:pPr>
        <w:ind w:left="360"/>
      </w:pPr>
      <w:r w:rsidRPr="002B401A">
        <w:t>In this project, we utilize</w:t>
      </w:r>
      <w:r w:rsidR="008F608A">
        <w:t>d</w:t>
      </w:r>
      <w:r w:rsidRPr="002B401A">
        <w:t xml:space="preserve"> salary data from academic</w:t>
      </w:r>
      <w:r w:rsidR="006763B4">
        <w:t xml:space="preserve"> </w:t>
      </w:r>
      <w:r w:rsidR="004572E4">
        <w:t>institutions</w:t>
      </w:r>
      <w:r w:rsidRPr="002B401A">
        <w:t xml:space="preserve"> </w:t>
      </w:r>
      <w:r w:rsidR="27A5359E">
        <w:t xml:space="preserve">in the “Power 5” athletic conferences </w:t>
      </w:r>
      <w:r w:rsidRPr="002B401A">
        <w:t xml:space="preserve">with varying characteristics in attempt to reveal the factors that greatly impact students’ earnings following graduation. </w:t>
      </w:r>
      <w:r w:rsidR="38E2AB3E">
        <w:t xml:space="preserve">It should be noted that the Power 5 schools do not represent the full range of academic institutions available to students but were chosen to </w:t>
      </w:r>
      <w:r w:rsidR="18373CB1">
        <w:t>provide a subset of the larger dataset to be analyzed.</w:t>
      </w:r>
      <w:r w:rsidRPr="002B401A">
        <w:t xml:space="preserve"> </w:t>
      </w:r>
    </w:p>
    <w:p w14:paraId="72548F04" w14:textId="77777777" w:rsidR="00C859DF" w:rsidRDefault="00C859DF" w:rsidP="00C859DF">
      <w:pPr>
        <w:pStyle w:val="ListParagraph"/>
        <w:rPr>
          <w:b/>
          <w:bCs/>
        </w:rPr>
      </w:pPr>
    </w:p>
    <w:p w14:paraId="4D3F79D0" w14:textId="77777777" w:rsidR="008F6245" w:rsidRDefault="00C859DF" w:rsidP="008F62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</w:t>
      </w:r>
    </w:p>
    <w:p w14:paraId="094EF396" w14:textId="49DC9C8C" w:rsidR="00527970" w:rsidRDefault="00527970" w:rsidP="00FB55B6">
      <w:pPr>
        <w:ind w:left="360"/>
      </w:pPr>
      <w:r w:rsidRPr="006965FB">
        <w:t xml:space="preserve">This project uses two primary sources of data: Wikipedia data on Power 5 school conferences and </w:t>
      </w:r>
      <w:r>
        <w:t xml:space="preserve">a Kaggle dataset, “Where it Pays to Attend College”. </w:t>
      </w:r>
    </w:p>
    <w:p w14:paraId="604FF06C" w14:textId="77777777" w:rsidR="00C60CE1" w:rsidRDefault="00C60CE1" w:rsidP="00527970"/>
    <w:p w14:paraId="5D5FE8EA" w14:textId="77777777" w:rsidR="00FA7C0F" w:rsidRPr="002C0E28" w:rsidRDefault="00FA7C0F" w:rsidP="00FA7C0F">
      <w:pPr>
        <w:pStyle w:val="ListParagraph"/>
        <w:numPr>
          <w:ilvl w:val="1"/>
          <w:numId w:val="1"/>
        </w:numPr>
        <w:rPr>
          <w:i/>
          <w:iCs/>
        </w:rPr>
      </w:pPr>
      <w:r w:rsidRPr="002C0E28">
        <w:rPr>
          <w:i/>
          <w:iCs/>
        </w:rPr>
        <w:t>Where is Pays to Attend College</w:t>
      </w:r>
    </w:p>
    <w:p w14:paraId="4377528B" w14:textId="77777777" w:rsidR="00FA7C0F" w:rsidRPr="005829F5" w:rsidRDefault="00FA7C0F" w:rsidP="00FA7C0F">
      <w:pPr>
        <w:ind w:left="360"/>
      </w:pPr>
    </w:p>
    <w:p w14:paraId="53A669CC" w14:textId="32A94512" w:rsidR="00FA7C0F" w:rsidRDefault="00FA7C0F" w:rsidP="00FA7C0F">
      <w:pPr>
        <w:ind w:left="360"/>
      </w:pPr>
      <w:r w:rsidRPr="008F6245">
        <w:t>The Kaggle</w:t>
      </w:r>
      <w:r>
        <w:t xml:space="preserve"> dataset,</w:t>
      </w:r>
      <w:r w:rsidRPr="008F6245">
        <w:t xml:space="preserve"> “Where it Pays to Attend College,”</w:t>
      </w:r>
      <w:r w:rsidRPr="00521947">
        <w:rPr>
          <w:vertAlign w:val="superscript"/>
        </w:rPr>
        <w:t>2</w:t>
      </w:r>
      <w:r w:rsidRPr="008F6245">
        <w:t xml:space="preserve"> compares salaries by college, region and major.</w:t>
      </w:r>
      <w:r w:rsidRPr="00B26EE3">
        <w:rPr>
          <w:vertAlign w:val="superscript"/>
        </w:rPr>
        <w:t>1</w:t>
      </w:r>
      <w:r w:rsidRPr="008F6245">
        <w:t xml:space="preserve"> The dataset is divided into three different tables formatted as CSV files: degrees that pay back, salaries by college type, and salaries by region.</w:t>
      </w:r>
    </w:p>
    <w:p w14:paraId="3235A601" w14:textId="77777777" w:rsidR="00FA7C0F" w:rsidRDefault="00FA7C0F" w:rsidP="00FA7C0F">
      <w:r>
        <w:tab/>
      </w:r>
    </w:p>
    <w:p w14:paraId="4F2E479C" w14:textId="77777777" w:rsidR="00FA7C0F" w:rsidRDefault="00FA7C0F" w:rsidP="00FA7C0F">
      <w:pPr>
        <w:ind w:left="360"/>
      </w:pPr>
      <w:r w:rsidRPr="008F6245">
        <w:t>The degrees that pay back table includes 50 unique college majors and the percent change between the medians for starting salary and mid-career salary. The salaries by college type table have 249 unique school names, but 269 instances</w:t>
      </w:r>
      <w:r w:rsidRPr="00A02DD4">
        <w:rPr>
          <w:rStyle w:val="normaltextrun"/>
          <w:rFonts w:ascii="Calibri" w:hAnsi="Calibri" w:cs="Calibri"/>
        </w:rPr>
        <w:t xml:space="preserve"> </w:t>
      </w:r>
      <w:r w:rsidRPr="00A02DD4">
        <w:rPr>
          <w:rFonts w:ascii="Calibri" w:eastAsia="Times New Roman" w:hAnsi="Calibri" w:cs="Calibri"/>
        </w:rPr>
        <w:t>every school that is classified as a party school is also classified as either a state, liberal arts, engineering, or ivy league school,</w:t>
      </w:r>
      <w:r>
        <w:rPr>
          <w:rFonts w:ascii="Calibri" w:eastAsia="Times New Roman" w:hAnsi="Calibri" w:cs="Calibri"/>
        </w:rPr>
        <w:t xml:space="preserve"> </w:t>
      </w:r>
      <w:r w:rsidRPr="00A02DD4">
        <w:rPr>
          <w:rFonts w:ascii="Calibri" w:eastAsia="Times New Roman" w:hAnsi="Calibri" w:cs="Calibri"/>
        </w:rPr>
        <w:t>duplicating some school instances but with different school types</w:t>
      </w:r>
      <w:r>
        <w:t>.</w:t>
      </w:r>
      <w:r w:rsidRPr="00042A64">
        <w:t xml:space="preserve"> </w:t>
      </w:r>
      <w:r w:rsidRPr="008F6245">
        <w:t xml:space="preserve">The last table, salaries by region, includes 320 unique school names and their region: either Northeastern, Southern, Midwestern, Western, or California. </w:t>
      </w:r>
      <w:r>
        <w:t xml:space="preserve"> However, we chose to omit the tables “degrees that pay back” and “salaries by college type”. </w:t>
      </w:r>
    </w:p>
    <w:p w14:paraId="3D7DFDF2" w14:textId="77777777" w:rsidR="00FA7C0F" w:rsidRDefault="00FA7C0F" w:rsidP="00FA7C0F"/>
    <w:p w14:paraId="223E78B8" w14:textId="6ACC2A10" w:rsidR="00C4499A" w:rsidRDefault="00FA7C0F" w:rsidP="00DD7DF7">
      <w:pPr>
        <w:ind w:left="360"/>
      </w:pPr>
      <w:r w:rsidRPr="008F6245">
        <w:t xml:space="preserve">All three tables have the following attributes: starting median salary, mid-career median salary, mid-career 10th percentile salary, mid-career 25th percentile salary, mid-career 75th percentile salary, mid-career 90th percentile salary. </w:t>
      </w:r>
      <w:r w:rsidR="00C4499A">
        <w:t xml:space="preserve">We cleaned the data by removing dollar signs ($) and replaced them as blank. </w:t>
      </w:r>
      <w:r>
        <w:t>The pre-preprocessing code is included in the “Power 5” R Script</w:t>
      </w:r>
      <w:r w:rsidR="00E13DBD">
        <w:t xml:space="preserve"> with the data frame named “</w:t>
      </w:r>
      <w:proofErr w:type="spellStart"/>
      <w:r w:rsidR="00E13DBD">
        <w:t>all_schools</w:t>
      </w:r>
      <w:proofErr w:type="spellEnd"/>
      <w:r w:rsidR="67D254FB">
        <w:t>.</w:t>
      </w:r>
      <w:r w:rsidR="6AF7D3A1">
        <w:t>”</w:t>
      </w:r>
    </w:p>
    <w:p w14:paraId="30B9960D" w14:textId="77777777" w:rsidR="000B1524" w:rsidRDefault="000B1524" w:rsidP="000B1524">
      <w:pPr>
        <w:pStyle w:val="ListParagraph"/>
        <w:rPr>
          <w:i/>
          <w:iCs/>
        </w:rPr>
      </w:pPr>
    </w:p>
    <w:p w14:paraId="295C84D0" w14:textId="5FCB1D7D" w:rsidR="00FA7C0F" w:rsidRDefault="00FA7C0F" w:rsidP="00FA7C0F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Power 5 Conference </w:t>
      </w:r>
    </w:p>
    <w:p w14:paraId="3371F5EC" w14:textId="7575C6F4" w:rsidR="004701FC" w:rsidRDefault="004701FC" w:rsidP="00FA7C0F">
      <w:pPr>
        <w:ind w:left="360"/>
      </w:pPr>
      <w:r>
        <w:lastRenderedPageBreak/>
        <w:t>To identi</w:t>
      </w:r>
      <w:r w:rsidR="38A0BD46">
        <w:t>f</w:t>
      </w:r>
      <w:r>
        <w:t xml:space="preserve">y and collect data on Power 5 conferences, we used the main Wikipedia article </w:t>
      </w:r>
      <w:r w:rsidR="00AA3E73">
        <w:t xml:space="preserve">on </w:t>
      </w:r>
      <w:r w:rsidR="008253EF">
        <w:t xml:space="preserve">teams in the Power Five </w:t>
      </w:r>
      <w:r w:rsidR="00AA3E73">
        <w:t>conferences</w:t>
      </w:r>
      <w:r w:rsidR="00521947" w:rsidRPr="002B401A">
        <w:rPr>
          <w:vertAlign w:val="superscript"/>
        </w:rPr>
        <w:t>1</w:t>
      </w:r>
      <w:r w:rsidR="008253EF">
        <w:t xml:space="preserve">. </w:t>
      </w:r>
      <w:r w:rsidR="003407DE">
        <w:t xml:space="preserve">This page </w:t>
      </w:r>
      <w:r w:rsidR="009B2FE1">
        <w:t xml:space="preserve">contains a section titled “Current conferences and teams” </w:t>
      </w:r>
      <w:r w:rsidR="00AA3E73">
        <w:t xml:space="preserve">that lists all the Power 5 conferences (ACC, Big Ten, Big 12, Pac-12, and the SEC) and the </w:t>
      </w:r>
      <w:r w:rsidR="00F17E5E">
        <w:t>member universities</w:t>
      </w:r>
      <w:r w:rsidR="00AA3E73">
        <w:t xml:space="preserve"> that belong </w:t>
      </w:r>
      <w:r w:rsidR="74DCC928">
        <w:t>to</w:t>
      </w:r>
      <w:r w:rsidR="3EB00AB3">
        <w:t xml:space="preserve"> </w:t>
      </w:r>
      <w:r w:rsidR="00F17E5E">
        <w:t xml:space="preserve">each </w:t>
      </w:r>
      <w:r w:rsidR="00AA3E73">
        <w:t xml:space="preserve">conference. </w:t>
      </w:r>
      <w:r w:rsidR="00233D4A">
        <w:t>Each school and conference</w:t>
      </w:r>
      <w:r w:rsidR="00D41426">
        <w:t xml:space="preserve"> </w:t>
      </w:r>
      <w:r w:rsidR="19180624">
        <w:t>are</w:t>
      </w:r>
      <w:r w:rsidR="00233D4A">
        <w:t xml:space="preserve"> accompanied by a hyperlink to the place’s respective Wikipedia page. </w:t>
      </w:r>
    </w:p>
    <w:p w14:paraId="0D4FBCA6" w14:textId="23DEB3FD" w:rsidR="005829F5" w:rsidRDefault="005829F5" w:rsidP="004701FC">
      <w:pPr>
        <w:pStyle w:val="ListParagraph"/>
      </w:pPr>
    </w:p>
    <w:p w14:paraId="77A657EB" w14:textId="47228B39" w:rsidR="00FA7C0F" w:rsidRDefault="004A2CF2" w:rsidP="00F622C9">
      <w:pPr>
        <w:ind w:left="360"/>
      </w:pPr>
      <w:r>
        <w:t xml:space="preserve">Based on the table </w:t>
      </w:r>
      <w:r w:rsidR="007E579B">
        <w:t xml:space="preserve">on Wikipedia </w:t>
      </w:r>
      <w:r>
        <w:t>we w</w:t>
      </w:r>
      <w:r w:rsidR="002C0E28">
        <w:t xml:space="preserve">rote a </w:t>
      </w:r>
      <w:r w:rsidR="00935C3C">
        <w:t xml:space="preserve">find all function to </w:t>
      </w:r>
      <w:r w:rsidR="006A5875">
        <w:t xml:space="preserve">get all the </w:t>
      </w:r>
      <w:r w:rsidR="00F655DB">
        <w:t xml:space="preserve">conferences listed. </w:t>
      </w:r>
      <w:r w:rsidR="006268E9">
        <w:t xml:space="preserve">We then scraped all the </w:t>
      </w:r>
      <w:r w:rsidR="006A5875">
        <w:t>schools listed under each conference.</w:t>
      </w:r>
      <w:r w:rsidR="005D0D88">
        <w:t xml:space="preserve"> </w:t>
      </w:r>
      <w:r w:rsidR="009C7607">
        <w:t xml:space="preserve">After getting all </w:t>
      </w:r>
      <w:r w:rsidR="000F360B">
        <w:t>the schools in each conference we</w:t>
      </w:r>
      <w:r w:rsidR="00B346AF">
        <w:t xml:space="preserve"> created </w:t>
      </w:r>
      <w:r w:rsidR="00E76D7F">
        <w:t xml:space="preserve">a </w:t>
      </w:r>
      <w:r w:rsidR="00833888">
        <w:t xml:space="preserve">data frame, </w:t>
      </w:r>
      <w:r w:rsidR="00395265">
        <w:t>of all schools and their respective conference</w:t>
      </w:r>
      <w:r w:rsidR="00833888">
        <w:t xml:space="preserve">. </w:t>
      </w:r>
      <w:r w:rsidR="000D73D2">
        <w:t xml:space="preserve">By vertically merging </w:t>
      </w:r>
      <w:r w:rsidR="00A953A5">
        <w:t xml:space="preserve">each of the conferences it </w:t>
      </w:r>
      <w:r w:rsidR="005D0D88">
        <w:t xml:space="preserve">created a data frame with </w:t>
      </w:r>
      <w:r w:rsidR="000D3DC8">
        <w:t xml:space="preserve">65 </w:t>
      </w:r>
      <w:r w:rsidR="000B729C">
        <w:t>observations and 2 variables.</w:t>
      </w:r>
      <w:r w:rsidR="006A5875">
        <w:t xml:space="preserve"> </w:t>
      </w:r>
      <w:r w:rsidR="00737909">
        <w:t xml:space="preserve">The </w:t>
      </w:r>
      <w:r w:rsidR="781B0F5B">
        <w:t>sc</w:t>
      </w:r>
      <w:r w:rsidR="35891C39">
        <w:t>r</w:t>
      </w:r>
      <w:r w:rsidR="781B0F5B">
        <w:t>aping</w:t>
      </w:r>
      <w:r w:rsidR="00737909">
        <w:t xml:space="preserve"> is included in the R Script “Power5”</w:t>
      </w:r>
      <w:r w:rsidR="00EB3953">
        <w:t xml:space="preserve"> with the data frame </w:t>
      </w:r>
      <w:r w:rsidR="342889A4">
        <w:t>name</w:t>
      </w:r>
      <w:r w:rsidR="331D03B2">
        <w:t>d</w:t>
      </w:r>
      <w:r w:rsidR="00EB3953">
        <w:t xml:space="preserve"> “Power 5”</w:t>
      </w:r>
      <w:r w:rsidR="00737909">
        <w:t xml:space="preserve">. </w:t>
      </w:r>
    </w:p>
    <w:p w14:paraId="2D1BA56F" w14:textId="23DEB3FD" w:rsidR="00F622C9" w:rsidRDefault="00F622C9" w:rsidP="00F622C9">
      <w:pPr>
        <w:ind w:left="360"/>
      </w:pPr>
    </w:p>
    <w:p w14:paraId="40F6759D" w14:textId="46A5348E" w:rsidR="00F622C9" w:rsidRPr="00F622C9" w:rsidRDefault="00F622C9" w:rsidP="00F622C9">
      <w:pPr>
        <w:ind w:left="360"/>
        <w:rPr>
          <w:i/>
          <w:iCs/>
        </w:rPr>
      </w:pPr>
      <w:r w:rsidRPr="00F622C9">
        <w:rPr>
          <w:i/>
          <w:iCs/>
        </w:rPr>
        <w:t xml:space="preserve">2.3 Integrate Power 5 Conferences and “Where it Pays to Attend College” </w:t>
      </w:r>
    </w:p>
    <w:p w14:paraId="62227009" w14:textId="53AA3FBA" w:rsidR="00737909" w:rsidRDefault="00737909" w:rsidP="00737909">
      <w:pPr>
        <w:ind w:left="360"/>
      </w:pPr>
      <w:r>
        <w:t>We then had to make sure all the school names were uniform (e.g., Arizona mixed with Arizona State) to the Kaggle dataset for merging purposes.</w:t>
      </w:r>
      <w:r w:rsidR="00FC354E">
        <w:t xml:space="preserve"> Since our two data sets shared a column “</w:t>
      </w:r>
      <w:proofErr w:type="spellStart"/>
      <w:r w:rsidR="00FC354E">
        <w:t>School.Name</w:t>
      </w:r>
      <w:proofErr w:type="spellEnd"/>
      <w:r w:rsidR="00FC354E">
        <w:t xml:space="preserve">” we were able to </w:t>
      </w:r>
      <w:r w:rsidR="00B15152">
        <w:t>horizontally merge the two datasets. This data frame is included in the R Script “Power 5” named “</w:t>
      </w:r>
      <w:proofErr w:type="spellStart"/>
      <w:r w:rsidR="00B15152">
        <w:t>SchoolsByConference</w:t>
      </w:r>
      <w:proofErr w:type="spellEnd"/>
      <w:r w:rsidR="00B15152">
        <w:t>”</w:t>
      </w:r>
      <w:r w:rsidR="0025024E">
        <w:t xml:space="preserve"> with </w:t>
      </w:r>
      <w:r w:rsidR="00245E37">
        <w:t>65 rows and 10 features</w:t>
      </w:r>
      <w:r w:rsidR="00B15152">
        <w:t xml:space="preserve">. </w:t>
      </w:r>
    </w:p>
    <w:p w14:paraId="4A3C1EE1" w14:textId="51EEE12E" w:rsidR="00FA7C0F" w:rsidRDefault="00FA7C0F" w:rsidP="00D82088">
      <w:pPr>
        <w:ind w:left="360"/>
      </w:pPr>
    </w:p>
    <w:p w14:paraId="3EA629A5" w14:textId="22D304FF" w:rsidR="00E86810" w:rsidRPr="00E86810" w:rsidRDefault="00E86810" w:rsidP="00E86810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86810">
        <w:rPr>
          <w:rFonts w:ascii="Calibri" w:eastAsia="Times New Roman" w:hAnsi="Calibri" w:cs="Calibri"/>
          <w:i/>
          <w:iCs/>
        </w:rPr>
        <w:t>Table 1 Data Dictionary</w:t>
      </w:r>
      <w:r w:rsidRPr="00E86810">
        <w:rPr>
          <w:rFonts w:ascii="Calibri" w:eastAsia="Times New Roman" w:hAnsi="Calibri" w:cs="Calibri"/>
        </w:rPr>
        <w:t> </w:t>
      </w:r>
      <w:r w:rsidR="00245E37">
        <w:rPr>
          <w:rFonts w:ascii="Calibri" w:eastAsia="Times New Roman" w:hAnsi="Calibri" w:cs="Calibri"/>
        </w:rPr>
        <w:t xml:space="preserve">(Schools </w:t>
      </w:r>
      <w:proofErr w:type="gramStart"/>
      <w:r w:rsidR="00245E37">
        <w:rPr>
          <w:rFonts w:ascii="Calibri" w:eastAsia="Times New Roman" w:hAnsi="Calibri" w:cs="Calibri"/>
        </w:rPr>
        <w:t>By</w:t>
      </w:r>
      <w:proofErr w:type="gramEnd"/>
      <w:r w:rsidR="00245E37">
        <w:rPr>
          <w:rFonts w:ascii="Calibri" w:eastAsia="Times New Roman" w:hAnsi="Calibri" w:cs="Calibri"/>
        </w:rPr>
        <w:t xml:space="preserve"> Conference)</w:t>
      </w:r>
    </w:p>
    <w:tbl>
      <w:tblPr>
        <w:tblW w:w="96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0"/>
        <w:gridCol w:w="1249"/>
        <w:gridCol w:w="4971"/>
      </w:tblGrid>
      <w:tr w:rsidR="009010E7" w:rsidRPr="00E86810" w14:paraId="138C2870" w14:textId="77777777" w:rsidTr="00877D82">
        <w:trPr>
          <w:trHeight w:val="351"/>
        </w:trPr>
        <w:tc>
          <w:tcPr>
            <w:tcW w:w="3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986501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Column </w:t>
            </w:r>
          </w:p>
          <w:p w14:paraId="7C678477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9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51D6C6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Data Type </w:t>
            </w:r>
          </w:p>
        </w:tc>
        <w:tc>
          <w:tcPr>
            <w:tcW w:w="4971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A9220E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Description </w:t>
            </w:r>
          </w:p>
        </w:tc>
      </w:tr>
      <w:tr w:rsidR="009010E7" w:rsidRPr="00E86810" w14:paraId="38F8D97C" w14:textId="77777777" w:rsidTr="00877D82">
        <w:trPr>
          <w:trHeight w:val="218"/>
        </w:trPr>
        <w:tc>
          <w:tcPr>
            <w:tcW w:w="34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0A55E9" w14:textId="77777777" w:rsidR="00A64C3B" w:rsidRDefault="00E86810" w:rsidP="00E86810">
            <w:pPr>
              <w:textAlignment w:val="baseline"/>
              <w:rPr>
                <w:rFonts w:ascii="Calibri" w:eastAsia="Times New Roman" w:hAnsi="Calibri" w:cs="Calibri"/>
              </w:rPr>
            </w:pPr>
            <w:proofErr w:type="spellStart"/>
            <w:r w:rsidRPr="00E86810">
              <w:rPr>
                <w:rFonts w:ascii="Calibri" w:eastAsia="Times New Roman" w:hAnsi="Calibri" w:cs="Calibri"/>
              </w:rPr>
              <w:t>School</w:t>
            </w:r>
            <w:r w:rsidR="00574517">
              <w:rPr>
                <w:rFonts w:ascii="Calibri" w:eastAsia="Times New Roman" w:hAnsi="Calibri" w:cs="Calibri"/>
              </w:rPr>
              <w:t>.</w:t>
            </w:r>
            <w:r w:rsidRPr="00E86810">
              <w:rPr>
                <w:rFonts w:ascii="Calibri" w:eastAsia="Times New Roman" w:hAnsi="Calibri" w:cs="Calibri"/>
              </w:rPr>
              <w:t>Name</w:t>
            </w:r>
            <w:proofErr w:type="spellEnd"/>
            <w:r w:rsidRPr="00E86810">
              <w:rPr>
                <w:rFonts w:ascii="Calibri" w:eastAsia="Times New Roman" w:hAnsi="Calibri" w:cs="Calibri"/>
              </w:rPr>
              <w:t> </w:t>
            </w:r>
          </w:p>
          <w:p w14:paraId="02F810C1" w14:textId="1A796452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A77B35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Text 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2E517D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Name of School </w:t>
            </w:r>
          </w:p>
        </w:tc>
      </w:tr>
      <w:tr w:rsidR="009010E7" w:rsidRPr="00E86810" w14:paraId="3ED77744" w14:textId="77777777" w:rsidTr="00877D82">
        <w:trPr>
          <w:trHeight w:val="397"/>
        </w:trPr>
        <w:tc>
          <w:tcPr>
            <w:tcW w:w="34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BC2FC9" w14:textId="22E6EDCA" w:rsidR="00E86810" w:rsidRPr="00E86810" w:rsidRDefault="00574517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</w:rPr>
              <w:t>Conference</w:t>
            </w:r>
            <w:r w:rsidR="00E86810" w:rsidRPr="00E8681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8217D8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Text 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D9B3E7" w14:textId="1D1F4271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 xml:space="preserve">School </w:t>
            </w:r>
            <w:r w:rsidR="006C308A">
              <w:rPr>
                <w:rFonts w:ascii="Calibri" w:eastAsia="Times New Roman" w:hAnsi="Calibri" w:cs="Calibri"/>
              </w:rPr>
              <w:t xml:space="preserve">conference </w:t>
            </w:r>
            <w:r w:rsidRPr="00E86810">
              <w:rPr>
                <w:rFonts w:ascii="Calibri" w:eastAsia="Times New Roman" w:hAnsi="Calibri" w:cs="Calibri"/>
              </w:rPr>
              <w:t>(“</w:t>
            </w:r>
            <w:r w:rsidR="006C308A">
              <w:rPr>
                <w:rFonts w:ascii="Calibri" w:eastAsia="Times New Roman" w:hAnsi="Calibri" w:cs="Calibri"/>
              </w:rPr>
              <w:t>Pac-12, SEC, Big 12,</w:t>
            </w:r>
            <w:r w:rsidR="00AA4D81">
              <w:rPr>
                <w:rFonts w:ascii="Calibri" w:eastAsia="Times New Roman" w:hAnsi="Calibri" w:cs="Calibri"/>
              </w:rPr>
              <w:t xml:space="preserve"> </w:t>
            </w:r>
            <w:r w:rsidR="006C308A">
              <w:rPr>
                <w:rFonts w:ascii="Calibri" w:eastAsia="Times New Roman" w:hAnsi="Calibri" w:cs="Calibri"/>
              </w:rPr>
              <w:t>Big 10, ACC</w:t>
            </w:r>
            <w:r w:rsidRPr="00E86810">
              <w:rPr>
                <w:rFonts w:ascii="Calibri" w:eastAsia="Times New Roman" w:hAnsi="Calibri" w:cs="Calibri"/>
              </w:rPr>
              <w:t>”) </w:t>
            </w:r>
          </w:p>
        </w:tc>
      </w:tr>
      <w:tr w:rsidR="009010E7" w:rsidRPr="00E86810" w14:paraId="74B1980D" w14:textId="77777777" w:rsidTr="00877D82">
        <w:trPr>
          <w:trHeight w:val="351"/>
        </w:trPr>
        <w:tc>
          <w:tcPr>
            <w:tcW w:w="34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073714" w14:textId="7A78D51F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86810">
              <w:rPr>
                <w:rFonts w:ascii="Calibri" w:eastAsia="Times New Roman" w:hAnsi="Calibri" w:cs="Calibri"/>
              </w:rPr>
              <w:t>Starting</w:t>
            </w:r>
            <w:r w:rsidR="003771F5">
              <w:rPr>
                <w:rFonts w:ascii="Calibri" w:eastAsia="Times New Roman" w:hAnsi="Calibri" w:cs="Calibri"/>
              </w:rPr>
              <w:t>.M</w:t>
            </w:r>
            <w:r w:rsidRPr="00E86810">
              <w:rPr>
                <w:rFonts w:ascii="Calibri" w:eastAsia="Times New Roman" w:hAnsi="Calibri" w:cs="Calibri"/>
              </w:rPr>
              <w:t>edian</w:t>
            </w:r>
            <w:r w:rsidR="003771F5">
              <w:rPr>
                <w:rFonts w:ascii="Calibri" w:eastAsia="Times New Roman" w:hAnsi="Calibri" w:cs="Calibri"/>
              </w:rPr>
              <w:t>.S</w:t>
            </w:r>
            <w:r w:rsidRPr="00E86810">
              <w:rPr>
                <w:rFonts w:ascii="Calibri" w:eastAsia="Times New Roman" w:hAnsi="Calibri" w:cs="Calibri"/>
              </w:rPr>
              <w:t>alary</w:t>
            </w:r>
            <w:proofErr w:type="spellEnd"/>
            <w:proofErr w:type="gramEnd"/>
            <w:r w:rsidRPr="00E8681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D8F022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Numeric  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80F130" w14:textId="08950AAA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Starting median salary for each school </w:t>
            </w:r>
          </w:p>
        </w:tc>
      </w:tr>
      <w:tr w:rsidR="009010E7" w:rsidRPr="00E86810" w14:paraId="085A1573" w14:textId="77777777" w:rsidTr="00877D82">
        <w:trPr>
          <w:trHeight w:val="452"/>
        </w:trPr>
        <w:tc>
          <w:tcPr>
            <w:tcW w:w="34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230DDA" w14:textId="4611B761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86810">
              <w:rPr>
                <w:rFonts w:ascii="Calibri" w:eastAsia="Times New Roman" w:hAnsi="Calibri" w:cs="Calibri"/>
              </w:rPr>
              <w:t>Mid</w:t>
            </w:r>
            <w:r w:rsidR="003771F5">
              <w:rPr>
                <w:rFonts w:ascii="Calibri" w:eastAsia="Times New Roman" w:hAnsi="Calibri" w:cs="Calibri"/>
              </w:rPr>
              <w:t>.C</w:t>
            </w:r>
            <w:r w:rsidRPr="00E86810">
              <w:rPr>
                <w:rFonts w:ascii="Calibri" w:eastAsia="Times New Roman" w:hAnsi="Calibri" w:cs="Calibri"/>
              </w:rPr>
              <w:t>areer</w:t>
            </w:r>
            <w:r w:rsidR="003771F5">
              <w:rPr>
                <w:rFonts w:ascii="Calibri" w:eastAsia="Times New Roman" w:hAnsi="Calibri" w:cs="Calibri"/>
              </w:rPr>
              <w:t>.M</w:t>
            </w:r>
            <w:r w:rsidRPr="00E86810">
              <w:rPr>
                <w:rFonts w:ascii="Calibri" w:eastAsia="Times New Roman" w:hAnsi="Calibri" w:cs="Calibri"/>
              </w:rPr>
              <w:t>edian</w:t>
            </w:r>
            <w:r w:rsidR="003771F5">
              <w:rPr>
                <w:rFonts w:ascii="Calibri" w:eastAsia="Times New Roman" w:hAnsi="Calibri" w:cs="Calibri"/>
              </w:rPr>
              <w:t>.S</w:t>
            </w:r>
            <w:r w:rsidRPr="00E86810">
              <w:rPr>
                <w:rFonts w:ascii="Calibri" w:eastAsia="Times New Roman" w:hAnsi="Calibri" w:cs="Calibri"/>
              </w:rPr>
              <w:t>alary</w:t>
            </w:r>
            <w:proofErr w:type="spellEnd"/>
            <w:proofErr w:type="gramEnd"/>
            <w:r w:rsidRPr="00E8681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D74A06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Numeric 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3F9C40" w14:textId="02B9B531" w:rsidR="00E86810" w:rsidRPr="00E86810" w:rsidRDefault="06A18A74" w:rsidP="00E86810">
            <w:pPr>
              <w:textAlignment w:val="baseline"/>
              <w:rPr>
                <w:rFonts w:ascii="Calibri" w:eastAsia="Times New Roman" w:hAnsi="Calibri" w:cs="Calibri"/>
              </w:rPr>
            </w:pPr>
            <w:r w:rsidRPr="3EA2F47F">
              <w:rPr>
                <w:rFonts w:ascii="Calibri" w:eastAsia="Times New Roman" w:hAnsi="Calibri" w:cs="Calibri"/>
              </w:rPr>
              <w:t>M</w:t>
            </w:r>
            <w:r w:rsidR="00E86810" w:rsidRPr="3EA2F47F">
              <w:rPr>
                <w:rFonts w:ascii="Calibri" w:eastAsia="Times New Roman" w:hAnsi="Calibri" w:cs="Calibri"/>
              </w:rPr>
              <w:t>id</w:t>
            </w:r>
            <w:r w:rsidR="00E86810" w:rsidRPr="00E86810">
              <w:rPr>
                <w:rFonts w:ascii="Calibri" w:eastAsia="Times New Roman" w:hAnsi="Calibri" w:cs="Calibri"/>
              </w:rPr>
              <w:t>-career </w:t>
            </w:r>
            <w:r w:rsidR="402DBF22" w:rsidRPr="3EA2F47F">
              <w:rPr>
                <w:rFonts w:ascii="Calibri" w:eastAsia="Times New Roman" w:hAnsi="Calibri" w:cs="Calibri"/>
              </w:rPr>
              <w:t xml:space="preserve">median salary </w:t>
            </w:r>
            <w:r w:rsidR="00E86810" w:rsidRPr="00E86810">
              <w:rPr>
                <w:rFonts w:ascii="Calibri" w:eastAsia="Times New Roman" w:hAnsi="Calibri" w:cs="Calibri"/>
              </w:rPr>
              <w:t>for each school </w:t>
            </w:r>
          </w:p>
        </w:tc>
      </w:tr>
      <w:tr w:rsidR="009010E7" w:rsidRPr="00E86810" w14:paraId="65E496D7" w14:textId="77777777" w:rsidTr="00877D82">
        <w:trPr>
          <w:trHeight w:val="482"/>
        </w:trPr>
        <w:tc>
          <w:tcPr>
            <w:tcW w:w="34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F59A39" w14:textId="28D7DD9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gramStart"/>
            <w:r w:rsidRPr="00E86810">
              <w:rPr>
                <w:rFonts w:ascii="Calibri" w:eastAsia="Times New Roman" w:hAnsi="Calibri" w:cs="Calibri"/>
              </w:rPr>
              <w:t>Mid</w:t>
            </w:r>
            <w:r w:rsidR="003771F5">
              <w:rPr>
                <w:rFonts w:ascii="Calibri" w:eastAsia="Times New Roman" w:hAnsi="Calibri" w:cs="Calibri"/>
              </w:rPr>
              <w:t>.C</w:t>
            </w:r>
            <w:r w:rsidRPr="00E86810">
              <w:rPr>
                <w:rFonts w:ascii="Calibri" w:eastAsia="Times New Roman" w:hAnsi="Calibri" w:cs="Calibri"/>
              </w:rPr>
              <w:t>areer</w:t>
            </w:r>
            <w:r w:rsidR="003771F5">
              <w:rPr>
                <w:rFonts w:ascii="Calibri" w:eastAsia="Times New Roman" w:hAnsi="Calibri" w:cs="Calibri"/>
              </w:rPr>
              <w:t>.</w:t>
            </w:r>
            <w:r w:rsidRPr="00E86810">
              <w:rPr>
                <w:rFonts w:ascii="Calibri" w:eastAsia="Times New Roman" w:hAnsi="Calibri" w:cs="Calibri"/>
              </w:rPr>
              <w:t>10</w:t>
            </w:r>
            <w:r w:rsidRPr="00E86810">
              <w:rPr>
                <w:rFonts w:ascii="Calibri" w:eastAsia="Times New Roman" w:hAnsi="Calibri" w:cs="Calibri"/>
                <w:vertAlign w:val="superscript"/>
              </w:rPr>
              <w:t>th</w:t>
            </w:r>
            <w:r w:rsidR="003771F5">
              <w:rPr>
                <w:rFonts w:ascii="Calibri" w:eastAsia="Times New Roman" w:hAnsi="Calibri" w:cs="Calibri"/>
              </w:rPr>
              <w:t>.P</w:t>
            </w:r>
            <w:r w:rsidRPr="00E86810">
              <w:rPr>
                <w:rFonts w:ascii="Calibri" w:eastAsia="Times New Roman" w:hAnsi="Calibri" w:cs="Calibri"/>
              </w:rPr>
              <w:t>ercentile</w:t>
            </w:r>
            <w:proofErr w:type="gramEnd"/>
            <w:r w:rsidR="003771F5">
              <w:rPr>
                <w:rFonts w:ascii="Calibri" w:eastAsia="Times New Roman" w:hAnsi="Calibri" w:cs="Calibri"/>
              </w:rPr>
              <w:t>.S</w:t>
            </w:r>
            <w:r w:rsidRPr="00E86810">
              <w:rPr>
                <w:rFonts w:ascii="Calibri" w:eastAsia="Times New Roman" w:hAnsi="Calibri" w:cs="Calibri"/>
              </w:rPr>
              <w:t>alary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2A2E16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Numeric  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36D05F" w14:textId="7C5CA592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10</w:t>
            </w:r>
            <w:r w:rsidRPr="00E86810">
              <w:rPr>
                <w:rFonts w:ascii="Calibri" w:eastAsia="Times New Roman" w:hAnsi="Calibri" w:cs="Calibri"/>
                <w:sz w:val="19"/>
                <w:szCs w:val="19"/>
                <w:vertAlign w:val="superscript"/>
              </w:rPr>
              <w:t>th</w:t>
            </w:r>
            <w:r w:rsidRPr="00E86810">
              <w:rPr>
                <w:rFonts w:ascii="Calibri" w:eastAsia="Times New Roman" w:hAnsi="Calibri" w:cs="Calibri"/>
              </w:rPr>
              <w:t> percentile salary for each school </w:t>
            </w:r>
          </w:p>
        </w:tc>
      </w:tr>
      <w:tr w:rsidR="009010E7" w:rsidRPr="00E86810" w14:paraId="7CAFF4B0" w14:textId="77777777" w:rsidTr="00877D82">
        <w:trPr>
          <w:trHeight w:val="413"/>
        </w:trPr>
        <w:tc>
          <w:tcPr>
            <w:tcW w:w="34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7B9724" w14:textId="112EEE1B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gramStart"/>
            <w:r w:rsidRPr="00E86810">
              <w:rPr>
                <w:rFonts w:ascii="Calibri" w:eastAsia="Times New Roman" w:hAnsi="Calibri" w:cs="Calibri"/>
              </w:rPr>
              <w:t>Mid</w:t>
            </w:r>
            <w:r w:rsidR="003771F5">
              <w:rPr>
                <w:rFonts w:ascii="Calibri" w:eastAsia="Times New Roman" w:hAnsi="Calibri" w:cs="Calibri"/>
              </w:rPr>
              <w:t>.C</w:t>
            </w:r>
            <w:r w:rsidRPr="00E86810">
              <w:rPr>
                <w:rFonts w:ascii="Calibri" w:eastAsia="Times New Roman" w:hAnsi="Calibri" w:cs="Calibri"/>
              </w:rPr>
              <w:t>areer</w:t>
            </w:r>
            <w:r w:rsidR="003771F5">
              <w:rPr>
                <w:rFonts w:ascii="Calibri" w:eastAsia="Times New Roman" w:hAnsi="Calibri" w:cs="Calibri"/>
              </w:rPr>
              <w:t>.</w:t>
            </w:r>
            <w:r w:rsidRPr="00E86810">
              <w:rPr>
                <w:rFonts w:ascii="Calibri" w:eastAsia="Times New Roman" w:hAnsi="Calibri" w:cs="Calibri"/>
              </w:rPr>
              <w:t>25</w:t>
            </w:r>
            <w:r w:rsidRPr="00E86810">
              <w:rPr>
                <w:rFonts w:ascii="Calibri" w:eastAsia="Times New Roman" w:hAnsi="Calibri" w:cs="Calibri"/>
                <w:vertAlign w:val="superscript"/>
              </w:rPr>
              <w:t>th</w:t>
            </w:r>
            <w:r w:rsidR="003771F5">
              <w:rPr>
                <w:rFonts w:ascii="Calibri" w:eastAsia="Times New Roman" w:hAnsi="Calibri" w:cs="Calibri"/>
              </w:rPr>
              <w:t>.P</w:t>
            </w:r>
            <w:r w:rsidRPr="00E86810">
              <w:rPr>
                <w:rFonts w:ascii="Calibri" w:eastAsia="Times New Roman" w:hAnsi="Calibri" w:cs="Calibri"/>
              </w:rPr>
              <w:t>ercentile</w:t>
            </w:r>
            <w:proofErr w:type="gramEnd"/>
            <w:r w:rsidR="003771F5">
              <w:rPr>
                <w:rFonts w:ascii="Calibri" w:eastAsia="Times New Roman" w:hAnsi="Calibri" w:cs="Calibri"/>
              </w:rPr>
              <w:t>.S</w:t>
            </w:r>
            <w:r w:rsidRPr="00E86810">
              <w:rPr>
                <w:rFonts w:ascii="Calibri" w:eastAsia="Times New Roman" w:hAnsi="Calibri" w:cs="Calibri"/>
              </w:rPr>
              <w:t>alary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61FC2B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Numeric 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13F163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25th percentile salary for each school and major </w:t>
            </w:r>
          </w:p>
          <w:p w14:paraId="5B202ECA" w14:textId="77777777" w:rsidR="00E86810" w:rsidRPr="00E86810" w:rsidRDefault="00E86810" w:rsidP="00E86810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 </w:t>
            </w:r>
          </w:p>
        </w:tc>
      </w:tr>
      <w:tr w:rsidR="009010E7" w:rsidRPr="00E86810" w14:paraId="53A8B537" w14:textId="77777777" w:rsidTr="00877D82">
        <w:trPr>
          <w:trHeight w:val="242"/>
        </w:trPr>
        <w:tc>
          <w:tcPr>
            <w:tcW w:w="34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E72C18" w14:textId="73F7E67E" w:rsidR="00D02CDD" w:rsidRPr="00E86810" w:rsidRDefault="00D02CDD" w:rsidP="00D02CDD">
            <w:pPr>
              <w:textAlignment w:val="baseline"/>
              <w:rPr>
                <w:rFonts w:ascii="Calibri" w:eastAsia="Times New Roman" w:hAnsi="Calibri" w:cs="Calibri"/>
              </w:rPr>
            </w:pPr>
            <w:proofErr w:type="gramStart"/>
            <w:r w:rsidRPr="00E86810">
              <w:rPr>
                <w:rFonts w:ascii="Calibri" w:eastAsia="Times New Roman" w:hAnsi="Calibri" w:cs="Calibri"/>
              </w:rPr>
              <w:t>Mid</w:t>
            </w:r>
            <w:r>
              <w:rPr>
                <w:rFonts w:ascii="Calibri" w:eastAsia="Times New Roman" w:hAnsi="Calibri" w:cs="Calibri"/>
              </w:rPr>
              <w:t>.C</w:t>
            </w:r>
            <w:r w:rsidRPr="00E86810">
              <w:rPr>
                <w:rFonts w:ascii="Calibri" w:eastAsia="Times New Roman" w:hAnsi="Calibri" w:cs="Calibri"/>
              </w:rPr>
              <w:t>areer</w:t>
            </w:r>
            <w:r>
              <w:rPr>
                <w:rFonts w:ascii="Calibri" w:eastAsia="Times New Roman" w:hAnsi="Calibri" w:cs="Calibri"/>
              </w:rPr>
              <w:t>.75</w:t>
            </w:r>
            <w:r w:rsidRPr="00E86810">
              <w:rPr>
                <w:rFonts w:ascii="Calibri" w:eastAsia="Times New Roman" w:hAnsi="Calibri" w:cs="Calibri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</w:rPr>
              <w:t>.P</w:t>
            </w:r>
            <w:r w:rsidRPr="00E86810">
              <w:rPr>
                <w:rFonts w:ascii="Calibri" w:eastAsia="Times New Roman" w:hAnsi="Calibri" w:cs="Calibri"/>
              </w:rPr>
              <w:t>ercentile</w:t>
            </w:r>
            <w:proofErr w:type="gramEnd"/>
            <w:r>
              <w:rPr>
                <w:rFonts w:ascii="Calibri" w:eastAsia="Times New Roman" w:hAnsi="Calibri" w:cs="Calibri"/>
              </w:rPr>
              <w:t>.S</w:t>
            </w:r>
            <w:r w:rsidRPr="00E86810">
              <w:rPr>
                <w:rFonts w:ascii="Calibri" w:eastAsia="Times New Roman" w:hAnsi="Calibri" w:cs="Calibri"/>
              </w:rPr>
              <w:t>alary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935528" w14:textId="381F9216" w:rsidR="00D02CDD" w:rsidRPr="00E86810" w:rsidRDefault="00D02CDD" w:rsidP="00D02CDD">
            <w:pPr>
              <w:textAlignment w:val="baseline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Numeric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511EEC1" w14:textId="641F8D87" w:rsidR="00D02CDD" w:rsidRPr="00E86810" w:rsidRDefault="00D02CDD" w:rsidP="00D02CD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</w:rPr>
              <w:t>7</w:t>
            </w:r>
            <w:r w:rsidRPr="00E86810">
              <w:rPr>
                <w:rFonts w:ascii="Calibri" w:eastAsia="Times New Roman" w:hAnsi="Calibri" w:cs="Calibri"/>
              </w:rPr>
              <w:t>5th percentile salary for each school and major </w:t>
            </w:r>
          </w:p>
          <w:p w14:paraId="5436C176" w14:textId="6C012339" w:rsidR="00D02CDD" w:rsidRPr="00E86810" w:rsidRDefault="00D02CDD" w:rsidP="00D02CDD">
            <w:pPr>
              <w:textAlignment w:val="baseline"/>
              <w:rPr>
                <w:rFonts w:ascii="Calibri" w:eastAsia="Times New Roman" w:hAnsi="Calibri" w:cs="Calibri"/>
              </w:rPr>
            </w:pPr>
            <w:r w:rsidRPr="00E86810">
              <w:rPr>
                <w:rFonts w:ascii="Calibri" w:eastAsia="Times New Roman" w:hAnsi="Calibri" w:cs="Calibri"/>
              </w:rPr>
              <w:t> </w:t>
            </w:r>
          </w:p>
        </w:tc>
      </w:tr>
      <w:tr w:rsidR="009010E7" w:rsidRPr="00E86810" w14:paraId="6429FA4B" w14:textId="77777777" w:rsidTr="00877D82">
        <w:trPr>
          <w:trHeight w:val="351"/>
        </w:trPr>
        <w:tc>
          <w:tcPr>
            <w:tcW w:w="34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4B0711" w14:textId="6ED7D693" w:rsidR="00D02CDD" w:rsidRPr="00E86810" w:rsidRDefault="00D02CDD" w:rsidP="00D02CD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proofErr w:type="gramStart"/>
            <w:r w:rsidRPr="00E86810">
              <w:rPr>
                <w:rFonts w:ascii="Calibri" w:eastAsia="Times New Roman" w:hAnsi="Calibri" w:cs="Calibri"/>
              </w:rPr>
              <w:t>Mid</w:t>
            </w:r>
            <w:r>
              <w:rPr>
                <w:rFonts w:ascii="Calibri" w:eastAsia="Times New Roman" w:hAnsi="Calibri" w:cs="Calibri"/>
              </w:rPr>
              <w:t>.C</w:t>
            </w:r>
            <w:r w:rsidRPr="00E86810">
              <w:rPr>
                <w:rFonts w:ascii="Calibri" w:eastAsia="Times New Roman" w:hAnsi="Calibri" w:cs="Calibri"/>
              </w:rPr>
              <w:t>areer</w:t>
            </w:r>
            <w:r>
              <w:rPr>
                <w:rFonts w:ascii="Calibri" w:eastAsia="Times New Roman" w:hAnsi="Calibri" w:cs="Calibri"/>
              </w:rPr>
              <w:t>.</w:t>
            </w:r>
            <w:r w:rsidRPr="00E86810">
              <w:rPr>
                <w:rFonts w:ascii="Calibri" w:eastAsia="Times New Roman" w:hAnsi="Calibri" w:cs="Calibri"/>
              </w:rPr>
              <w:t>90th</w:t>
            </w:r>
            <w:r>
              <w:rPr>
                <w:rFonts w:ascii="Calibri" w:eastAsia="Times New Roman" w:hAnsi="Calibri" w:cs="Calibri"/>
              </w:rPr>
              <w:t>.P</w:t>
            </w:r>
            <w:r w:rsidRPr="00E86810">
              <w:rPr>
                <w:rFonts w:ascii="Calibri" w:eastAsia="Times New Roman" w:hAnsi="Calibri" w:cs="Calibri"/>
              </w:rPr>
              <w:t>ercentile</w:t>
            </w:r>
            <w:proofErr w:type="gramEnd"/>
            <w:r>
              <w:rPr>
                <w:rFonts w:ascii="Calibri" w:eastAsia="Times New Roman" w:hAnsi="Calibri" w:cs="Calibri"/>
              </w:rPr>
              <w:t>.S</w:t>
            </w:r>
            <w:r w:rsidRPr="00E86810">
              <w:rPr>
                <w:rFonts w:ascii="Calibri" w:eastAsia="Times New Roman" w:hAnsi="Calibri" w:cs="Calibri"/>
              </w:rPr>
              <w:t>alary </w:t>
            </w:r>
          </w:p>
          <w:p w14:paraId="2A5AC5DC" w14:textId="77777777" w:rsidR="00D02CDD" w:rsidRPr="00E86810" w:rsidRDefault="00D02CDD" w:rsidP="00D02CDD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65429D" w14:textId="77777777" w:rsidR="00D02CDD" w:rsidRPr="00E86810" w:rsidRDefault="00D02CDD" w:rsidP="00D02CD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Numeric  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D69BF6" w14:textId="3A054A65" w:rsidR="00D02CDD" w:rsidRPr="00E86810" w:rsidRDefault="00D02CDD" w:rsidP="00D02CD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90th percentile salary for each school and major </w:t>
            </w:r>
          </w:p>
        </w:tc>
      </w:tr>
      <w:tr w:rsidR="009010E7" w:rsidRPr="00E86810" w14:paraId="7EE11D8B" w14:textId="77777777" w:rsidTr="00877D82">
        <w:trPr>
          <w:trHeight w:val="575"/>
        </w:trPr>
        <w:tc>
          <w:tcPr>
            <w:tcW w:w="34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73FC7E" w14:textId="77777777" w:rsidR="00D02CDD" w:rsidRPr="00E86810" w:rsidRDefault="00D02CDD" w:rsidP="00D02CD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Percent change from Starting to Mid-Career Salary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AA412B" w14:textId="77777777" w:rsidR="00D02CDD" w:rsidRPr="00E86810" w:rsidRDefault="00D02CDD" w:rsidP="00D02CD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Numeric 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92EED4" w14:textId="0667DC88" w:rsidR="00D02CDD" w:rsidRPr="00E86810" w:rsidRDefault="00D02CDD" w:rsidP="00D02CD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</w:rPr>
              <w:t>P</w:t>
            </w:r>
            <w:r w:rsidRPr="00E86810">
              <w:rPr>
                <w:rFonts w:ascii="Calibri" w:eastAsia="Times New Roman" w:hAnsi="Calibri" w:cs="Calibri"/>
              </w:rPr>
              <w:t>ercentage to reflect increase in salary over time </w:t>
            </w:r>
          </w:p>
        </w:tc>
      </w:tr>
      <w:tr w:rsidR="009010E7" w:rsidRPr="00E86810" w14:paraId="48CEC38A" w14:textId="77777777" w:rsidTr="00877D82">
        <w:trPr>
          <w:trHeight w:val="87"/>
        </w:trPr>
        <w:tc>
          <w:tcPr>
            <w:tcW w:w="3400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37584E" w14:textId="77777777" w:rsidR="00D02CDD" w:rsidRPr="00E86810" w:rsidRDefault="00D02CDD" w:rsidP="00D02CD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Region  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437715" w14:textId="77777777" w:rsidR="00D02CDD" w:rsidRPr="00E86810" w:rsidRDefault="00D02CDD" w:rsidP="00D02CD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E86810">
              <w:rPr>
                <w:rFonts w:ascii="Calibri" w:eastAsia="Times New Roman" w:hAnsi="Calibri" w:cs="Calibri"/>
              </w:rPr>
              <w:t>Text </w:t>
            </w:r>
          </w:p>
        </w:tc>
        <w:tc>
          <w:tcPr>
            <w:tcW w:w="4971" w:type="dxa"/>
            <w:tcBorders>
              <w:top w:val="nil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A9C863" w14:textId="77777777" w:rsidR="00D02CDD" w:rsidRDefault="00D02CDD" w:rsidP="00D02CDD">
            <w:pPr>
              <w:textAlignment w:val="baseline"/>
              <w:rPr>
                <w:rFonts w:ascii="Calibri" w:eastAsia="Times New Roman" w:hAnsi="Calibri" w:cs="Calibri"/>
              </w:rPr>
            </w:pPr>
            <w:r w:rsidRPr="00E86810">
              <w:rPr>
                <w:rFonts w:ascii="Calibri" w:eastAsia="Times New Roman" w:hAnsi="Calibri" w:cs="Calibri"/>
              </w:rPr>
              <w:t>Region school resides in </w:t>
            </w:r>
          </w:p>
          <w:p w14:paraId="0A3C5D2A" w14:textId="4D62E9A2" w:rsidR="00D02CDD" w:rsidRPr="00E86810" w:rsidRDefault="00D02CDD" w:rsidP="00D02CDD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59EB2FC" w14:textId="4600E992" w:rsidR="00847321" w:rsidRPr="006D7A7C" w:rsidRDefault="00261062" w:rsidP="00261062">
      <w:pPr>
        <w:rPr>
          <w:rStyle w:val="Hyperlink"/>
          <w:rFonts w:cstheme="minorHAnsi"/>
          <w:color w:val="auto"/>
          <w:u w:val="none"/>
          <w:vertAlign w:val="superscript"/>
        </w:rPr>
      </w:pPr>
      <w:r>
        <w:rPr>
          <w:vertAlign w:val="superscript"/>
        </w:rPr>
        <w:t xml:space="preserve"> </w:t>
      </w:r>
      <w:r w:rsidRPr="006D7A7C">
        <w:rPr>
          <w:rFonts w:cstheme="minorHAnsi"/>
          <w:vertAlign w:val="superscript"/>
        </w:rPr>
        <w:t xml:space="preserve"> </w:t>
      </w:r>
      <w:r w:rsidR="00545F17" w:rsidRPr="006D7A7C">
        <w:rPr>
          <w:rFonts w:cstheme="minorHAnsi"/>
          <w:vertAlign w:val="superscript"/>
        </w:rPr>
        <w:t>1</w:t>
      </w:r>
      <w:hyperlink r:id="rId8" w:history="1">
        <w:r w:rsidR="00545F17" w:rsidRPr="00545F17">
          <w:rPr>
            <w:rStyle w:val="Hyperlink"/>
            <w:rFonts w:eastAsia="Times New Roman" w:cstheme="minorHAnsi"/>
            <w:sz w:val="20"/>
            <w:szCs w:val="20"/>
          </w:rPr>
          <w:t>https://en.wikipedia.org/wiki/Power_Five_conferences</w:t>
        </w:r>
      </w:hyperlink>
    </w:p>
    <w:p w14:paraId="21777921" w14:textId="11AA0C5A" w:rsidR="00C859DF" w:rsidRPr="00C51E10" w:rsidRDefault="00261062" w:rsidP="00C859DF">
      <w:pPr>
        <w:rPr>
          <w:rFonts w:cstheme="minorHAnsi"/>
        </w:rPr>
      </w:pPr>
      <w:r w:rsidRPr="006D7A7C">
        <w:rPr>
          <w:rFonts w:cstheme="minorHAnsi"/>
          <w:vertAlign w:val="superscript"/>
        </w:rPr>
        <w:t xml:space="preserve">  2</w:t>
      </w:r>
      <w:hyperlink r:id="rId9" w:history="1">
        <w:r w:rsidRPr="00261062">
          <w:rPr>
            <w:rStyle w:val="Hyperlink"/>
            <w:rFonts w:eastAsia="Times New Roman" w:cstheme="minorHAnsi"/>
            <w:sz w:val="20"/>
            <w:szCs w:val="20"/>
          </w:rPr>
          <w:t>https://www.kaggle.com/wsj/college-salaries</w:t>
        </w:r>
      </w:hyperlink>
    </w:p>
    <w:p w14:paraId="53AC7BEF" w14:textId="1CC98A11" w:rsidR="00C859DF" w:rsidRDefault="00C859DF" w:rsidP="00C859D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Analysis </w:t>
      </w:r>
    </w:p>
    <w:p w14:paraId="0AB8BA50" w14:textId="7348057D" w:rsidR="007903F3" w:rsidRDefault="00410F8C" w:rsidP="00410F8C">
      <w:pPr>
        <w:ind w:left="360"/>
      </w:pPr>
      <w:r>
        <w:lastRenderedPageBreak/>
        <w:t xml:space="preserve">The goal of this project </w:t>
      </w:r>
      <w:r w:rsidR="00963CB3">
        <w:t>is to examine which schools and conferences have the best outcomes from college</w:t>
      </w:r>
      <w:r w:rsidR="00B21657">
        <w:t>, specifically starting median salaries</w:t>
      </w:r>
      <w:r w:rsidR="00A20153">
        <w:t xml:space="preserve"> and career growth</w:t>
      </w:r>
      <w:r w:rsidR="00B21657">
        <w:t>.</w:t>
      </w:r>
      <w:r w:rsidR="13A7F2A6">
        <w:t xml:space="preserve"> </w:t>
      </w:r>
    </w:p>
    <w:p w14:paraId="2F1CBF3D" w14:textId="77777777" w:rsidR="007903F3" w:rsidRDefault="007903F3" w:rsidP="00410F8C">
      <w:pPr>
        <w:ind w:left="360"/>
      </w:pPr>
    </w:p>
    <w:p w14:paraId="2A73B369" w14:textId="7ECD8305" w:rsidR="001A1A95" w:rsidRPr="001A1A95" w:rsidRDefault="007903F3" w:rsidP="001A1A95">
      <w:pPr>
        <w:pStyle w:val="ListParagraph"/>
        <w:numPr>
          <w:ilvl w:val="1"/>
          <w:numId w:val="1"/>
        </w:numPr>
        <w:rPr>
          <w:i/>
          <w:iCs/>
        </w:rPr>
      </w:pPr>
      <w:r w:rsidRPr="001A1A95">
        <w:rPr>
          <w:i/>
          <w:iCs/>
        </w:rPr>
        <w:t xml:space="preserve">Mean </w:t>
      </w:r>
      <w:r w:rsidR="001A1A95" w:rsidRPr="001A1A95">
        <w:rPr>
          <w:i/>
          <w:iCs/>
        </w:rPr>
        <w:t>s</w:t>
      </w:r>
      <w:r w:rsidRPr="001A1A95">
        <w:rPr>
          <w:i/>
          <w:iCs/>
        </w:rPr>
        <w:t xml:space="preserve">tarting </w:t>
      </w:r>
      <w:r w:rsidR="001A1A95" w:rsidRPr="001A1A95">
        <w:rPr>
          <w:i/>
          <w:iCs/>
        </w:rPr>
        <w:t>s</w:t>
      </w:r>
      <w:r w:rsidRPr="001A1A95">
        <w:rPr>
          <w:i/>
          <w:iCs/>
        </w:rPr>
        <w:t xml:space="preserve">alary by </w:t>
      </w:r>
      <w:r w:rsidR="001A1A95" w:rsidRPr="001A1A95">
        <w:rPr>
          <w:i/>
          <w:iCs/>
        </w:rPr>
        <w:t>school’s region</w:t>
      </w:r>
    </w:p>
    <w:p w14:paraId="1460143F" w14:textId="2FD91B89" w:rsidR="001D504B" w:rsidRDefault="004921E7" w:rsidP="001A1A95">
      <w:pPr>
        <w:pStyle w:val="ListParagraph"/>
      </w:pPr>
      <w:r>
        <w:t xml:space="preserve">Which region of the United States </w:t>
      </w:r>
      <w:r w:rsidR="734FDC67">
        <w:t>ha</w:t>
      </w:r>
      <w:r w:rsidR="3DAAFAEC">
        <w:t>s</w:t>
      </w:r>
      <w:r w:rsidR="734FDC67">
        <w:t xml:space="preserve"> the highest mean starting salary?</w:t>
      </w:r>
      <w:r>
        <w:t xml:space="preserve"> We created a</w:t>
      </w:r>
      <w:r w:rsidR="00771EBB">
        <w:t xml:space="preserve">n aggregate function to </w:t>
      </w:r>
      <w:r w:rsidR="004A38AB">
        <w:t xml:space="preserve">create a data frame </w:t>
      </w:r>
      <w:r w:rsidR="00484CC9">
        <w:t>that lists each region and their average median st</w:t>
      </w:r>
      <w:r w:rsidR="001A147D">
        <w:t xml:space="preserve">arting salary. </w:t>
      </w:r>
      <w:r w:rsidR="001D504B">
        <w:t xml:space="preserve">Table 2 displays the resulting summary table. </w:t>
      </w:r>
    </w:p>
    <w:p w14:paraId="373779E6" w14:textId="6D7F3CD1" w:rsidR="001D504B" w:rsidRDefault="001D504B" w:rsidP="001A1A95">
      <w:pPr>
        <w:pStyle w:val="ListParagraph"/>
      </w:pPr>
    </w:p>
    <w:p w14:paraId="02ACB94B" w14:textId="6D7F3CD1" w:rsidR="00AF11D6" w:rsidRDefault="001D504B" w:rsidP="001A1A95">
      <w:pPr>
        <w:pStyle w:val="ListParagraph"/>
      </w:pPr>
      <w:r>
        <w:t xml:space="preserve">Table 2 </w:t>
      </w:r>
      <w:r w:rsidR="00AF11D6">
        <w:t xml:space="preserve">Aggregate Function Summary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5"/>
        <w:gridCol w:w="4269"/>
      </w:tblGrid>
      <w:tr w:rsidR="00FA1537" w14:paraId="2B5F5E40" w14:textId="77777777" w:rsidTr="00A73FF3">
        <w:trPr>
          <w:trHeight w:val="308"/>
        </w:trPr>
        <w:tc>
          <w:tcPr>
            <w:tcW w:w="4225" w:type="dxa"/>
          </w:tcPr>
          <w:p w14:paraId="0264F227" w14:textId="247B77FB" w:rsidR="00BE3F5F" w:rsidRPr="00BE3F5F" w:rsidRDefault="007A2D99" w:rsidP="001A1A95">
            <w:pPr>
              <w:pStyle w:val="ListParagraph"/>
              <w:ind w:left="0"/>
            </w:pPr>
            <w:r>
              <w:t>Region</w:t>
            </w:r>
          </w:p>
        </w:tc>
        <w:tc>
          <w:tcPr>
            <w:tcW w:w="4269" w:type="dxa"/>
          </w:tcPr>
          <w:p w14:paraId="7B00FCB1" w14:textId="2396F36F" w:rsidR="00BE3F5F" w:rsidRPr="007A2D99" w:rsidRDefault="007A2D99" w:rsidP="001A1A95">
            <w:pPr>
              <w:pStyle w:val="ListParagraph"/>
              <w:ind w:left="0"/>
            </w:pPr>
            <w:proofErr w:type="spellStart"/>
            <w:r>
              <w:t>AvgMedian</w:t>
            </w:r>
            <w:r w:rsidR="000635C2">
              <w:t>Starting</w:t>
            </w:r>
            <w:r>
              <w:t>Salary</w:t>
            </w:r>
            <w:proofErr w:type="spellEnd"/>
          </w:p>
        </w:tc>
      </w:tr>
      <w:tr w:rsidR="00CE68FF" w:rsidRPr="007A2D99" w14:paraId="0F59E272" w14:textId="77777777" w:rsidTr="00A73FF3">
        <w:trPr>
          <w:trHeight w:val="308"/>
        </w:trPr>
        <w:tc>
          <w:tcPr>
            <w:tcW w:w="4225" w:type="dxa"/>
          </w:tcPr>
          <w:p w14:paraId="20CDC835" w14:textId="6E2197CC" w:rsidR="00BE3F5F" w:rsidRPr="007A2D99" w:rsidRDefault="00DF40EC" w:rsidP="001A1A95">
            <w:pPr>
              <w:pStyle w:val="ListParagraph"/>
              <w:ind w:left="0"/>
            </w:pPr>
            <w:r>
              <w:t xml:space="preserve">California </w:t>
            </w:r>
          </w:p>
        </w:tc>
        <w:tc>
          <w:tcPr>
            <w:tcW w:w="4269" w:type="dxa"/>
          </w:tcPr>
          <w:p w14:paraId="25809DCA" w14:textId="55BF1AB4" w:rsidR="00BE3F5F" w:rsidRPr="007A2D99" w:rsidRDefault="00CE68FF" w:rsidP="001A1A95">
            <w:pPr>
              <w:pStyle w:val="ListParagraph"/>
              <w:ind w:left="0"/>
            </w:pPr>
            <w:r w:rsidRPr="00CE68FF">
              <w:t>59425.00</w:t>
            </w:r>
          </w:p>
        </w:tc>
      </w:tr>
      <w:tr w:rsidR="00CE68FF" w:rsidRPr="007A2D99" w14:paraId="397D3E0D" w14:textId="77777777" w:rsidTr="00A73FF3">
        <w:trPr>
          <w:trHeight w:val="308"/>
        </w:trPr>
        <w:tc>
          <w:tcPr>
            <w:tcW w:w="4225" w:type="dxa"/>
          </w:tcPr>
          <w:p w14:paraId="0DDB56B8" w14:textId="098F46B2" w:rsidR="00BE3F5F" w:rsidRPr="007A2D99" w:rsidRDefault="00CE68FF" w:rsidP="001A1A95">
            <w:pPr>
              <w:pStyle w:val="ListParagraph"/>
              <w:ind w:left="0"/>
            </w:pPr>
            <w:r>
              <w:t>Midwestern</w:t>
            </w:r>
          </w:p>
        </w:tc>
        <w:tc>
          <w:tcPr>
            <w:tcW w:w="4269" w:type="dxa"/>
          </w:tcPr>
          <w:p w14:paraId="4D200A16" w14:textId="4D7FDC8C" w:rsidR="00BE3F5F" w:rsidRPr="007A2D99" w:rsidRDefault="0053200A" w:rsidP="001A1A95">
            <w:pPr>
              <w:pStyle w:val="ListParagraph"/>
              <w:ind w:left="0"/>
            </w:pPr>
            <w:r w:rsidRPr="0053200A">
              <w:t>47033.33</w:t>
            </w:r>
          </w:p>
        </w:tc>
      </w:tr>
      <w:tr w:rsidR="00CE68FF" w:rsidRPr="007A2D99" w14:paraId="17A1E625" w14:textId="77777777" w:rsidTr="00A73FF3">
        <w:trPr>
          <w:trHeight w:val="308"/>
        </w:trPr>
        <w:tc>
          <w:tcPr>
            <w:tcW w:w="4225" w:type="dxa"/>
          </w:tcPr>
          <w:p w14:paraId="684DAA16" w14:textId="17BA7F25" w:rsidR="00BE3F5F" w:rsidRPr="007A2D99" w:rsidRDefault="00FA1537" w:rsidP="001A1A95">
            <w:pPr>
              <w:pStyle w:val="ListParagraph"/>
              <w:ind w:left="0"/>
            </w:pPr>
            <w:r w:rsidRPr="00FA1537">
              <w:t>Northeastern</w:t>
            </w:r>
          </w:p>
        </w:tc>
        <w:tc>
          <w:tcPr>
            <w:tcW w:w="4269" w:type="dxa"/>
          </w:tcPr>
          <w:p w14:paraId="684743CC" w14:textId="13E48093" w:rsidR="00BE3F5F" w:rsidRPr="007A2D99" w:rsidRDefault="00317A89" w:rsidP="001A1A95">
            <w:pPr>
              <w:pStyle w:val="ListParagraph"/>
              <w:ind w:left="0"/>
            </w:pPr>
            <w:r w:rsidRPr="00317A89">
              <w:t>49650.00</w:t>
            </w:r>
          </w:p>
        </w:tc>
      </w:tr>
      <w:tr w:rsidR="00CE68FF" w:rsidRPr="007A2D99" w14:paraId="5AF51BCE" w14:textId="77777777" w:rsidTr="00A73FF3">
        <w:trPr>
          <w:trHeight w:val="308"/>
        </w:trPr>
        <w:tc>
          <w:tcPr>
            <w:tcW w:w="4225" w:type="dxa"/>
          </w:tcPr>
          <w:p w14:paraId="39721797" w14:textId="514B426B" w:rsidR="00BE3F5F" w:rsidRPr="007A2D99" w:rsidRDefault="00DB3F2D" w:rsidP="001A1A95">
            <w:pPr>
              <w:pStyle w:val="ListParagraph"/>
              <w:ind w:left="0"/>
            </w:pPr>
            <w:r w:rsidRPr="00DB3F2D">
              <w:t>Southern</w:t>
            </w:r>
          </w:p>
        </w:tc>
        <w:tc>
          <w:tcPr>
            <w:tcW w:w="4269" w:type="dxa"/>
          </w:tcPr>
          <w:p w14:paraId="738DE3E7" w14:textId="4ED41FB9" w:rsidR="00BE3F5F" w:rsidRPr="007A2D99" w:rsidRDefault="00A7371F" w:rsidP="001A1A95">
            <w:pPr>
              <w:pStyle w:val="ListParagraph"/>
              <w:ind w:left="0"/>
            </w:pPr>
            <w:r w:rsidRPr="00A7371F">
              <w:t>46611.11</w:t>
            </w:r>
          </w:p>
        </w:tc>
      </w:tr>
      <w:tr w:rsidR="00CE68FF" w:rsidRPr="007A2D99" w14:paraId="3D4F9998" w14:textId="77777777" w:rsidTr="00A73FF3">
        <w:trPr>
          <w:trHeight w:val="308"/>
        </w:trPr>
        <w:tc>
          <w:tcPr>
            <w:tcW w:w="4225" w:type="dxa"/>
          </w:tcPr>
          <w:p w14:paraId="6E180F4F" w14:textId="4ECFAA10" w:rsidR="00BE3F5F" w:rsidRPr="007A2D99" w:rsidRDefault="007C7A8C" w:rsidP="001A1A95">
            <w:pPr>
              <w:pStyle w:val="ListParagraph"/>
              <w:ind w:left="0"/>
            </w:pPr>
            <w:r w:rsidRPr="007C7A8C">
              <w:t>Western</w:t>
            </w:r>
          </w:p>
        </w:tc>
        <w:tc>
          <w:tcPr>
            <w:tcW w:w="4269" w:type="dxa"/>
          </w:tcPr>
          <w:p w14:paraId="2CCEE7C1" w14:textId="6FB2512E" w:rsidR="00BE3F5F" w:rsidRPr="007A2D99" w:rsidRDefault="001A592E" w:rsidP="001A1A95">
            <w:pPr>
              <w:pStyle w:val="ListParagraph"/>
              <w:ind w:left="0"/>
            </w:pPr>
            <w:r w:rsidRPr="001A592E">
              <w:t>46100.00</w:t>
            </w:r>
          </w:p>
        </w:tc>
      </w:tr>
    </w:tbl>
    <w:p w14:paraId="3C540BC6" w14:textId="4F3BF09C" w:rsidR="004F2616" w:rsidRDefault="00B21657" w:rsidP="001A1A95">
      <w:pPr>
        <w:pStyle w:val="ListParagraph"/>
      </w:pPr>
      <w:r w:rsidRPr="007A2D99">
        <w:t xml:space="preserve"> </w:t>
      </w:r>
    </w:p>
    <w:p w14:paraId="7B5B36F1" w14:textId="77777777" w:rsidR="00EB2DFD" w:rsidRDefault="00200C7A" w:rsidP="00EB2DFD">
      <w:pPr>
        <w:pStyle w:val="ListParagraph"/>
        <w:rPr>
          <w:noProof/>
        </w:rPr>
      </w:pPr>
      <w:r>
        <w:t xml:space="preserve">The summary table indicates that </w:t>
      </w:r>
      <w:r w:rsidR="00DD273D">
        <w:t>the California region has the highest average starting median salary.</w:t>
      </w:r>
      <w:r w:rsidR="00282FE9">
        <w:t xml:space="preserve"> </w:t>
      </w:r>
      <w:r w:rsidR="001A592E">
        <w:t xml:space="preserve">We then created an ANOVA test </w:t>
      </w:r>
      <w:r w:rsidR="00010592">
        <w:t xml:space="preserve">to </w:t>
      </w:r>
      <w:r w:rsidR="00A3657E">
        <w:t>determine i</w:t>
      </w:r>
      <w:r w:rsidR="00C8093B">
        <w:t xml:space="preserve">f there was a </w:t>
      </w:r>
      <w:r w:rsidR="0067407C">
        <w:t xml:space="preserve">was a relationship between the </w:t>
      </w:r>
      <w:r w:rsidR="002A48D2">
        <w:t xml:space="preserve">region and the starting salary. </w:t>
      </w:r>
      <w:r w:rsidR="004F262D">
        <w:t xml:space="preserve">We can conclude based off the ANOVA summary </w:t>
      </w:r>
      <w:r w:rsidR="00545917">
        <w:t>that confirms that there is</w:t>
      </w:r>
      <w:r w:rsidR="005B0555">
        <w:t xml:space="preserve"> a</w:t>
      </w:r>
      <w:r w:rsidR="00545917">
        <w:t xml:space="preserve"> significant </w:t>
      </w:r>
      <w:r w:rsidR="008A52B0">
        <w:t>between starting salaries and region (p=</w:t>
      </w:r>
      <w:r w:rsidR="00680114">
        <w:t>4.74e-</w:t>
      </w:r>
      <w:r w:rsidR="00582E54">
        <w:t xml:space="preserve">05). </w:t>
      </w:r>
      <w:r w:rsidR="00ED1446">
        <w:t xml:space="preserve">The </w:t>
      </w:r>
      <w:r w:rsidR="00B77739">
        <w:t>graph below</w:t>
      </w:r>
      <w:r w:rsidR="00123BE3">
        <w:t xml:space="preserve"> (</w:t>
      </w:r>
      <w:r w:rsidR="4ACAFC61">
        <w:t>F</w:t>
      </w:r>
      <w:r w:rsidR="00123BE3">
        <w:t>igure 1)</w:t>
      </w:r>
      <w:r w:rsidR="00B77739">
        <w:t xml:space="preserve"> shows the distribution of Average Median Salary </w:t>
      </w:r>
      <w:r w:rsidR="00BA4476">
        <w:t xml:space="preserve">in the form of a </w:t>
      </w:r>
      <w:r w:rsidR="1977D6D6">
        <w:t>ggplot2</w:t>
      </w:r>
      <w:r w:rsidR="3443943D" w:rsidRPr="7BE240D9">
        <w:rPr>
          <w:vertAlign w:val="superscript"/>
        </w:rPr>
        <w:t>3</w:t>
      </w:r>
      <w:r w:rsidR="1977D6D6">
        <w:t xml:space="preserve"> </w:t>
      </w:r>
      <w:r w:rsidR="4DB11289">
        <w:t>histogram.</w:t>
      </w:r>
      <w:r w:rsidR="00BA4476">
        <w:t xml:space="preserve"> The distribution backs up the results of </w:t>
      </w:r>
      <w:r w:rsidR="00355A96">
        <w:t xml:space="preserve">ANOVA test as each region </w:t>
      </w:r>
      <w:r w:rsidR="00D743FF">
        <w:t xml:space="preserve">has similar results </w:t>
      </w:r>
      <w:r w:rsidR="004B7E03">
        <w:t xml:space="preserve">other </w:t>
      </w:r>
      <w:r w:rsidR="00D743FF">
        <w:t>than</w:t>
      </w:r>
      <w:r w:rsidR="004B7E03">
        <w:t xml:space="preserve"> California.</w:t>
      </w:r>
      <w:r w:rsidR="00EB2DFD" w:rsidRPr="00EB2DFD">
        <w:rPr>
          <w:noProof/>
        </w:rPr>
        <w:t xml:space="preserve"> </w:t>
      </w:r>
    </w:p>
    <w:p w14:paraId="3FF06246" w14:textId="68E50AC0" w:rsidR="00EB2DFD" w:rsidRDefault="4937A56B" w:rsidP="000E4665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5CD0DFEF" wp14:editId="1B4A52B3">
            <wp:extent cx="4114800" cy="2888713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7297" w14:textId="65778D68" w:rsidR="00A73FF3" w:rsidRDefault="00A73FF3" w:rsidP="000E4665">
      <w:pPr>
        <w:pStyle w:val="ListParagraph"/>
        <w:jc w:val="center"/>
        <w:rPr>
          <w:i/>
          <w:iCs/>
        </w:rPr>
      </w:pPr>
      <w:r w:rsidRPr="00EB2DFD">
        <w:rPr>
          <w:i/>
          <w:iCs/>
        </w:rPr>
        <w:t xml:space="preserve">Figure 1 Distribution of Average </w:t>
      </w:r>
      <w:r w:rsidRPr="2A016C9C">
        <w:rPr>
          <w:i/>
          <w:iCs/>
        </w:rPr>
        <w:t>Starting</w:t>
      </w:r>
      <w:r w:rsidRPr="00EB2DFD">
        <w:rPr>
          <w:i/>
          <w:iCs/>
        </w:rPr>
        <w:t xml:space="preserve"> Median Salary and Region</w:t>
      </w:r>
    </w:p>
    <w:p w14:paraId="68B4F834" w14:textId="77777777" w:rsidR="00227F12" w:rsidRDefault="00227F12" w:rsidP="00785338">
      <w:pPr>
        <w:pStyle w:val="ListParagraph"/>
        <w:rPr>
          <w:vertAlign w:val="superscript"/>
        </w:rPr>
      </w:pPr>
    </w:p>
    <w:p w14:paraId="6D999CCE" w14:textId="67FF492E" w:rsidR="00785338" w:rsidRPr="006D7A7C" w:rsidRDefault="00785338" w:rsidP="00785338">
      <w:pPr>
        <w:pStyle w:val="ListParagraph"/>
        <w:rPr>
          <w:rFonts w:cstheme="minorHAnsi"/>
          <w:noProof/>
          <w:sz w:val="20"/>
          <w:szCs w:val="20"/>
        </w:rPr>
      </w:pPr>
      <w:r w:rsidRPr="006D7A7C">
        <w:rPr>
          <w:rFonts w:cstheme="minorHAnsi"/>
          <w:sz w:val="20"/>
          <w:szCs w:val="20"/>
          <w:vertAlign w:val="superscript"/>
        </w:rPr>
        <w:t xml:space="preserve">3 </w:t>
      </w:r>
      <w:hyperlink r:id="rId11" w:history="1">
        <w:r w:rsidR="00227F12" w:rsidRPr="006D7A7C">
          <w:rPr>
            <w:rStyle w:val="Hyperlink"/>
            <w:rFonts w:cstheme="minorHAnsi"/>
            <w:sz w:val="20"/>
            <w:szCs w:val="20"/>
          </w:rPr>
          <w:t>https://cran.r-project.org/web/packages/ggplot2/</w:t>
        </w:r>
      </w:hyperlink>
      <w:r w:rsidR="00227F12" w:rsidRPr="006D7A7C">
        <w:rPr>
          <w:rFonts w:cstheme="minorHAnsi"/>
          <w:sz w:val="20"/>
          <w:szCs w:val="20"/>
        </w:rPr>
        <w:t xml:space="preserve"> </w:t>
      </w:r>
    </w:p>
    <w:p w14:paraId="6F886B39" w14:textId="1A57F3C6" w:rsidR="00981B12" w:rsidRDefault="00981B12" w:rsidP="00981B12">
      <w:pPr>
        <w:pStyle w:val="ListParagraph"/>
        <w:rPr>
          <w:i/>
          <w:iCs/>
        </w:rPr>
      </w:pPr>
    </w:p>
    <w:p w14:paraId="69E68D51" w14:textId="77777777" w:rsidR="006831C3" w:rsidRDefault="006831C3" w:rsidP="006831C3">
      <w:pPr>
        <w:pStyle w:val="ListParagraph"/>
        <w:rPr>
          <w:i/>
          <w:iCs/>
        </w:rPr>
      </w:pPr>
    </w:p>
    <w:p w14:paraId="16911AC6" w14:textId="1A57F3C6" w:rsidR="004B267E" w:rsidRDefault="004B267E" w:rsidP="004B267E">
      <w:pPr>
        <w:pStyle w:val="ListParagraph"/>
        <w:numPr>
          <w:ilvl w:val="1"/>
          <w:numId w:val="1"/>
        </w:numPr>
        <w:rPr>
          <w:i/>
          <w:iCs/>
        </w:rPr>
      </w:pPr>
      <w:r w:rsidRPr="090EA6D2">
        <w:rPr>
          <w:i/>
          <w:iCs/>
        </w:rPr>
        <w:lastRenderedPageBreak/>
        <w:t>Average salary growth by school’s conference</w:t>
      </w:r>
    </w:p>
    <w:p w14:paraId="295E0275" w14:textId="1A57F3C6" w:rsidR="004B267E" w:rsidRDefault="004B267E" w:rsidP="090EA6D2">
      <w:pPr>
        <w:pStyle w:val="ListParagraph"/>
      </w:pPr>
    </w:p>
    <w:p w14:paraId="42692FDB" w14:textId="1A57F3C6" w:rsidR="004B267E" w:rsidRDefault="2F9FFC84" w:rsidP="090EA6D2">
      <w:pPr>
        <w:pStyle w:val="ListParagraph"/>
      </w:pPr>
      <w:r>
        <w:t xml:space="preserve">Which conference in the Power 5 has the highest median salary growth? We created </w:t>
      </w:r>
    </w:p>
    <w:p w14:paraId="35475AC3" w14:textId="3B806229" w:rsidR="2F9FFC84" w:rsidRDefault="2F9FFC84" w:rsidP="090EA6D2">
      <w:pPr>
        <w:pStyle w:val="ListParagraph"/>
      </w:pPr>
      <w:r>
        <w:t xml:space="preserve">another aggregate function to calculate the average percentage growth in median income from the start of the career to the midway point of the career for each conference. Table 3 displays the resulting </w:t>
      </w:r>
      <w:r w:rsidR="7D193453">
        <w:t xml:space="preserve">aggregate </w:t>
      </w:r>
      <w:r>
        <w:t xml:space="preserve">summary table. </w:t>
      </w:r>
    </w:p>
    <w:p w14:paraId="72BB784B" w14:textId="6D7F3CD1" w:rsidR="090EA6D2" w:rsidRDefault="090EA6D2" w:rsidP="090EA6D2">
      <w:pPr>
        <w:pStyle w:val="ListParagraph"/>
      </w:pPr>
    </w:p>
    <w:p w14:paraId="6DECE38B" w14:textId="7CBC110B" w:rsidR="2F9FFC84" w:rsidRDefault="2F9FFC84" w:rsidP="090EA6D2">
      <w:pPr>
        <w:pStyle w:val="ListParagraph"/>
      </w:pPr>
      <w:r>
        <w:t xml:space="preserve">Table 3 Aggregate Function Summary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2"/>
        <w:gridCol w:w="4338"/>
      </w:tblGrid>
      <w:tr w:rsidR="090EA6D2" w14:paraId="64723F61" w14:textId="77777777" w:rsidTr="090EA6D2">
        <w:tc>
          <w:tcPr>
            <w:tcW w:w="4292" w:type="dxa"/>
          </w:tcPr>
          <w:p w14:paraId="4D234209" w14:textId="0F244CD3" w:rsidR="090EA6D2" w:rsidRDefault="090EA6D2" w:rsidP="090EA6D2">
            <w:pPr>
              <w:pStyle w:val="ListParagraph"/>
              <w:ind w:left="0"/>
            </w:pPr>
            <w:r>
              <w:t>Conference</w:t>
            </w:r>
          </w:p>
        </w:tc>
        <w:tc>
          <w:tcPr>
            <w:tcW w:w="4338" w:type="dxa"/>
          </w:tcPr>
          <w:p w14:paraId="08F82165" w14:textId="0843CC1F" w:rsidR="090EA6D2" w:rsidRDefault="090EA6D2" w:rsidP="090EA6D2">
            <w:pPr>
              <w:pStyle w:val="ListParagraph"/>
              <w:spacing w:line="259" w:lineRule="auto"/>
              <w:ind w:left="0"/>
            </w:pPr>
            <w:proofErr w:type="spellStart"/>
            <w:r>
              <w:t>Percent.Growth</w:t>
            </w:r>
            <w:proofErr w:type="spellEnd"/>
          </w:p>
        </w:tc>
      </w:tr>
      <w:tr w:rsidR="090EA6D2" w14:paraId="53084331" w14:textId="77777777" w:rsidTr="090EA6D2">
        <w:tc>
          <w:tcPr>
            <w:tcW w:w="4292" w:type="dxa"/>
          </w:tcPr>
          <w:p w14:paraId="5B6622CE" w14:textId="1EDBF3D7" w:rsidR="090EA6D2" w:rsidRDefault="090EA6D2" w:rsidP="090EA6D2">
            <w:pPr>
              <w:pStyle w:val="ListParagraph"/>
              <w:ind w:left="0"/>
            </w:pPr>
            <w:r>
              <w:t>ACC</w:t>
            </w:r>
          </w:p>
        </w:tc>
        <w:tc>
          <w:tcPr>
            <w:tcW w:w="4338" w:type="dxa"/>
          </w:tcPr>
          <w:p w14:paraId="18EBB958" w14:textId="2516D612" w:rsidR="090EA6D2" w:rsidRDefault="090EA6D2" w:rsidP="090EA6D2">
            <w:pPr>
              <w:pStyle w:val="ListParagraph"/>
              <w:spacing w:line="259" w:lineRule="auto"/>
              <w:ind w:left="0"/>
            </w:pPr>
            <w:r>
              <w:t>257.22</w:t>
            </w:r>
          </w:p>
        </w:tc>
      </w:tr>
      <w:tr w:rsidR="090EA6D2" w14:paraId="4C5E03F8" w14:textId="77777777" w:rsidTr="090EA6D2">
        <w:tc>
          <w:tcPr>
            <w:tcW w:w="4292" w:type="dxa"/>
          </w:tcPr>
          <w:p w14:paraId="4581CFCD" w14:textId="61A67D66" w:rsidR="090EA6D2" w:rsidRDefault="090EA6D2" w:rsidP="090EA6D2">
            <w:pPr>
              <w:pStyle w:val="ListParagraph"/>
              <w:spacing w:line="259" w:lineRule="auto"/>
              <w:ind w:left="0"/>
            </w:pPr>
            <w:r>
              <w:t>Big 12</w:t>
            </w:r>
          </w:p>
        </w:tc>
        <w:tc>
          <w:tcPr>
            <w:tcW w:w="4338" w:type="dxa"/>
          </w:tcPr>
          <w:p w14:paraId="5C0F715B" w14:textId="19BC769B" w:rsidR="090EA6D2" w:rsidRDefault="090EA6D2" w:rsidP="090EA6D2">
            <w:pPr>
              <w:pStyle w:val="ListParagraph"/>
              <w:spacing w:line="259" w:lineRule="auto"/>
              <w:ind w:left="0"/>
            </w:pPr>
            <w:r>
              <w:t>280.46</w:t>
            </w:r>
          </w:p>
        </w:tc>
      </w:tr>
      <w:tr w:rsidR="090EA6D2" w14:paraId="6D7C5795" w14:textId="77777777" w:rsidTr="090EA6D2">
        <w:tc>
          <w:tcPr>
            <w:tcW w:w="4292" w:type="dxa"/>
          </w:tcPr>
          <w:p w14:paraId="654DB66C" w14:textId="4A2572FA" w:rsidR="090EA6D2" w:rsidRDefault="090EA6D2" w:rsidP="090EA6D2">
            <w:pPr>
              <w:pStyle w:val="ListParagraph"/>
              <w:ind w:left="0"/>
            </w:pPr>
            <w:r>
              <w:t>Big Ten</w:t>
            </w:r>
          </w:p>
        </w:tc>
        <w:tc>
          <w:tcPr>
            <w:tcW w:w="4338" w:type="dxa"/>
          </w:tcPr>
          <w:p w14:paraId="5DCE9817" w14:textId="5D9C0DDB" w:rsidR="090EA6D2" w:rsidRDefault="090EA6D2" w:rsidP="090EA6D2">
            <w:pPr>
              <w:pStyle w:val="ListParagraph"/>
              <w:ind w:left="0"/>
            </w:pPr>
            <w:r>
              <w:t>260.93</w:t>
            </w:r>
          </w:p>
        </w:tc>
      </w:tr>
      <w:tr w:rsidR="090EA6D2" w14:paraId="7384F09C" w14:textId="77777777" w:rsidTr="090EA6D2">
        <w:tc>
          <w:tcPr>
            <w:tcW w:w="4292" w:type="dxa"/>
          </w:tcPr>
          <w:p w14:paraId="19C0B528" w14:textId="4F8E5C40" w:rsidR="090EA6D2" w:rsidRDefault="090EA6D2" w:rsidP="090EA6D2">
            <w:pPr>
              <w:pStyle w:val="ListParagraph"/>
              <w:spacing w:line="259" w:lineRule="auto"/>
              <w:ind w:left="0"/>
            </w:pPr>
            <w:r>
              <w:t>Pac-12</w:t>
            </w:r>
          </w:p>
        </w:tc>
        <w:tc>
          <w:tcPr>
            <w:tcW w:w="4338" w:type="dxa"/>
          </w:tcPr>
          <w:p w14:paraId="1DD9CE7E" w14:textId="24A8228D" w:rsidR="090EA6D2" w:rsidRDefault="090EA6D2" w:rsidP="090EA6D2">
            <w:pPr>
              <w:pStyle w:val="ListParagraph"/>
              <w:ind w:left="0"/>
            </w:pPr>
            <w:r>
              <w:t>267.62</w:t>
            </w:r>
          </w:p>
        </w:tc>
      </w:tr>
      <w:tr w:rsidR="090EA6D2" w14:paraId="5AD115BA" w14:textId="77777777" w:rsidTr="090EA6D2">
        <w:tc>
          <w:tcPr>
            <w:tcW w:w="4292" w:type="dxa"/>
          </w:tcPr>
          <w:p w14:paraId="01E28021" w14:textId="1F4A2CCC" w:rsidR="090EA6D2" w:rsidRDefault="090EA6D2" w:rsidP="090EA6D2">
            <w:pPr>
              <w:pStyle w:val="ListParagraph"/>
              <w:spacing w:line="259" w:lineRule="auto"/>
              <w:ind w:left="0"/>
            </w:pPr>
            <w:r>
              <w:t>SEC</w:t>
            </w:r>
          </w:p>
        </w:tc>
        <w:tc>
          <w:tcPr>
            <w:tcW w:w="4338" w:type="dxa"/>
          </w:tcPr>
          <w:p w14:paraId="6EB8FBE6" w14:textId="12ABB439" w:rsidR="090EA6D2" w:rsidRDefault="090EA6D2" w:rsidP="090EA6D2">
            <w:pPr>
              <w:pStyle w:val="ListParagraph"/>
              <w:ind w:left="0"/>
            </w:pPr>
            <w:r>
              <w:t>274.86</w:t>
            </w:r>
          </w:p>
        </w:tc>
      </w:tr>
    </w:tbl>
    <w:p w14:paraId="3F0EEC81" w14:textId="4F3BF09C" w:rsidR="46C308D2" w:rsidRDefault="46C308D2" w:rsidP="090EA6D2">
      <w:pPr>
        <w:pStyle w:val="ListParagraph"/>
      </w:pPr>
      <w:r>
        <w:t xml:space="preserve"> </w:t>
      </w:r>
    </w:p>
    <w:p w14:paraId="0B1A72D1" w14:textId="592F4E07" w:rsidR="46C308D2" w:rsidRDefault="46C308D2" w:rsidP="090EA6D2">
      <w:pPr>
        <w:pStyle w:val="ListParagraph"/>
      </w:pPr>
      <w:r>
        <w:t xml:space="preserve">The summary table shows steady salary growth across all conferences, with the Big 12 and the SEC </w:t>
      </w:r>
      <w:r w:rsidR="3DE5DC8C">
        <w:t xml:space="preserve">narrowly </w:t>
      </w:r>
      <w:r>
        <w:t xml:space="preserve">leading the way at 280.46% and 274.86% growth, respectively. Given this information, it </w:t>
      </w:r>
      <w:r w:rsidR="63728F70">
        <w:t>appears</w:t>
      </w:r>
      <w:r>
        <w:t xml:space="preserve"> that </w:t>
      </w:r>
      <w:r w:rsidR="63728F70">
        <w:t>no</w:t>
      </w:r>
      <w:r>
        <w:t xml:space="preserve"> conference has a significant advantage in terms of offering extraordinary salary growth to mid-career. To help visualize the average earnings growth across all schools in the 5 conferences, we created a stacked vertical bar chart </w:t>
      </w:r>
      <w:r w:rsidR="2E2DE916">
        <w:t>(</w:t>
      </w:r>
      <w:r w:rsidR="0E27AD9D">
        <w:t>F</w:t>
      </w:r>
      <w:r w:rsidR="51E8FEC5">
        <w:t>igure</w:t>
      </w:r>
      <w:r w:rsidR="2E2DE916">
        <w:t xml:space="preserve"> 2)</w:t>
      </w:r>
      <w:r>
        <w:t xml:space="preserve"> separating the average median salaries for the respective conferences and career statuses. The chart is shown below</w:t>
      </w:r>
      <w:r w:rsidR="00517043">
        <w:t xml:space="preserve"> (Figure 2)</w:t>
      </w:r>
      <w:r>
        <w:t xml:space="preserve">. </w:t>
      </w:r>
    </w:p>
    <w:p w14:paraId="1DC3813A" w14:textId="009ABE10" w:rsidR="090EA6D2" w:rsidRDefault="090EA6D2" w:rsidP="090EA6D2">
      <w:pPr>
        <w:pStyle w:val="ListParagraph"/>
      </w:pPr>
    </w:p>
    <w:p w14:paraId="3D632405" w14:textId="1CEDDCFE" w:rsidR="46C308D2" w:rsidRDefault="66A9FE30" w:rsidP="007B4278">
      <w:pPr>
        <w:pStyle w:val="ListParagraph"/>
        <w:jc w:val="center"/>
      </w:pPr>
      <w:r>
        <w:rPr>
          <w:noProof/>
        </w:rPr>
        <w:drawing>
          <wp:inline distT="0" distB="0" distL="0" distR="0" wp14:anchorId="5CD2A055" wp14:editId="021F2B67">
            <wp:extent cx="4992222" cy="2828925"/>
            <wp:effectExtent l="0" t="0" r="0" b="0"/>
            <wp:docPr id="466493807" name="Picture 46649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4938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22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3A85" w14:textId="2A75EB3B" w:rsidR="006D5FA6" w:rsidRPr="00DD7DF7" w:rsidRDefault="33A60DA8" w:rsidP="000B1524">
      <w:pPr>
        <w:jc w:val="center"/>
        <w:rPr>
          <w:rFonts w:eastAsiaTheme="minorEastAsia"/>
          <w:i/>
        </w:rPr>
      </w:pPr>
      <w:r w:rsidRPr="499210A9">
        <w:rPr>
          <w:i/>
          <w:iCs/>
        </w:rPr>
        <w:t xml:space="preserve">Figure 2 Salary Growth </w:t>
      </w:r>
      <w:r w:rsidRPr="0093A0F6">
        <w:rPr>
          <w:i/>
          <w:iCs/>
        </w:rPr>
        <w:t>by Conference</w:t>
      </w:r>
    </w:p>
    <w:p w14:paraId="253DBEAE" w14:textId="77777777" w:rsidR="00055A24" w:rsidRPr="00055A24" w:rsidRDefault="00055A24" w:rsidP="00055A24">
      <w:pPr>
        <w:spacing w:line="259" w:lineRule="auto"/>
        <w:rPr>
          <w:rFonts w:eastAsiaTheme="minorEastAsia"/>
          <w:i/>
          <w:iCs/>
        </w:rPr>
      </w:pPr>
    </w:p>
    <w:p w14:paraId="4D940374" w14:textId="77777777" w:rsidR="00A93E73" w:rsidRPr="00055A24" w:rsidRDefault="00A93E73" w:rsidP="00FF06EE">
      <w:pPr>
        <w:spacing w:line="259" w:lineRule="auto"/>
        <w:rPr>
          <w:rFonts w:eastAsiaTheme="minorEastAsia"/>
          <w:i/>
          <w:iCs/>
        </w:rPr>
      </w:pPr>
    </w:p>
    <w:p w14:paraId="171E782E" w14:textId="77777777" w:rsidR="006831C3" w:rsidRPr="006831C3" w:rsidRDefault="006831C3" w:rsidP="006831C3">
      <w:pPr>
        <w:pStyle w:val="ListParagraph"/>
        <w:spacing w:line="259" w:lineRule="auto"/>
        <w:rPr>
          <w:rFonts w:eastAsiaTheme="minorEastAsia"/>
          <w:i/>
          <w:iCs/>
        </w:rPr>
      </w:pPr>
    </w:p>
    <w:p w14:paraId="775E81A8" w14:textId="78FEC486" w:rsidR="2F893581" w:rsidRDefault="2F893581" w:rsidP="090EA6D2">
      <w:pPr>
        <w:pStyle w:val="ListParagraph"/>
        <w:numPr>
          <w:ilvl w:val="1"/>
          <w:numId w:val="1"/>
        </w:numPr>
        <w:spacing w:line="259" w:lineRule="auto"/>
        <w:rPr>
          <w:rFonts w:eastAsiaTheme="minorEastAsia"/>
          <w:i/>
          <w:iCs/>
        </w:rPr>
      </w:pPr>
      <w:r w:rsidRPr="090EA6D2">
        <w:rPr>
          <w:i/>
          <w:iCs/>
        </w:rPr>
        <w:t>Minimum and maximum starting salaries by school’s conference</w:t>
      </w:r>
    </w:p>
    <w:p w14:paraId="04EB661A" w14:textId="02D841CC" w:rsidR="681D0CF7" w:rsidRDefault="681D0CF7" w:rsidP="090EA6D2">
      <w:pPr>
        <w:spacing w:line="259" w:lineRule="auto"/>
        <w:ind w:left="720"/>
      </w:pPr>
      <w:r w:rsidRPr="090EA6D2">
        <w:lastRenderedPageBreak/>
        <w:t xml:space="preserve">Which conference in the Power 5 has the highest and lowest </w:t>
      </w:r>
      <w:r w:rsidR="00B01AA2">
        <w:t xml:space="preserve">median </w:t>
      </w:r>
      <w:r w:rsidRPr="090EA6D2">
        <w:t xml:space="preserve">starting salary? Are there large discrepancies between the minimum and maximum starting salaries across each conference and within each conference? </w:t>
      </w:r>
      <w:r>
        <w:t xml:space="preserve">We </w:t>
      </w:r>
      <w:r w:rsidR="6AAE2BED">
        <w:t>created a dplyr</w:t>
      </w:r>
      <w:r w:rsidR="4205EDC8" w:rsidRPr="7716579A">
        <w:rPr>
          <w:vertAlign w:val="superscript"/>
        </w:rPr>
        <w:t>4</w:t>
      </w:r>
      <w:r w:rsidR="6AAE2BED">
        <w:t xml:space="preserve"> summary table</w:t>
      </w:r>
      <w:r w:rsidRPr="090EA6D2">
        <w:t xml:space="preserve"> to show the maximum and minimum starting median salaries for each conference in the Power 5. Table 4 displays the resulting summary table.</w:t>
      </w:r>
    </w:p>
    <w:p w14:paraId="58875B17" w14:textId="7BDF493A" w:rsidR="090EA6D2" w:rsidRDefault="090EA6D2" w:rsidP="090EA6D2">
      <w:pPr>
        <w:pStyle w:val="ListParagraph"/>
      </w:pPr>
    </w:p>
    <w:p w14:paraId="2DF40EA2" w14:textId="513C9CFE" w:rsidR="681D0CF7" w:rsidRDefault="681D0CF7" w:rsidP="090EA6D2">
      <w:pPr>
        <w:ind w:firstLine="720"/>
      </w:pPr>
      <w:r>
        <w:t xml:space="preserve">Table 4 </w:t>
      </w:r>
      <w:r w:rsidR="2BDA5283">
        <w:t>Starting Salaries</w:t>
      </w:r>
      <w:r>
        <w:t xml:space="preserve"> </w:t>
      </w:r>
      <w:r w:rsidR="2BDA5283">
        <w:t>by Conference</w:t>
      </w:r>
      <w:r w:rsidR="127F4A6C">
        <w:t xml:space="preserve"> </w:t>
      </w:r>
      <w:r>
        <w:t>Summary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505"/>
        <w:gridCol w:w="2985"/>
        <w:gridCol w:w="3135"/>
      </w:tblGrid>
      <w:tr w:rsidR="090EA6D2" w14:paraId="6EED90ED" w14:textId="77777777" w:rsidTr="090EA6D2">
        <w:tc>
          <w:tcPr>
            <w:tcW w:w="2505" w:type="dxa"/>
          </w:tcPr>
          <w:p w14:paraId="25B9C9A3" w14:textId="1E64EAB4" w:rsidR="090EA6D2" w:rsidRDefault="090EA6D2" w:rsidP="090EA6D2">
            <w:r>
              <w:t>Conference</w:t>
            </w:r>
          </w:p>
        </w:tc>
        <w:tc>
          <w:tcPr>
            <w:tcW w:w="2985" w:type="dxa"/>
          </w:tcPr>
          <w:p w14:paraId="544731FA" w14:textId="313EBFA3" w:rsidR="090EA6D2" w:rsidRDefault="090EA6D2" w:rsidP="090EA6D2">
            <w:r>
              <w:t>Maximum Starting Salary</w:t>
            </w:r>
          </w:p>
        </w:tc>
        <w:tc>
          <w:tcPr>
            <w:tcW w:w="3135" w:type="dxa"/>
          </w:tcPr>
          <w:p w14:paraId="4687D3CE" w14:textId="0AB5A9B7" w:rsidR="090EA6D2" w:rsidRDefault="090EA6D2" w:rsidP="090EA6D2">
            <w:r>
              <w:t>Minimum Starting Salary</w:t>
            </w:r>
          </w:p>
        </w:tc>
      </w:tr>
      <w:tr w:rsidR="090EA6D2" w14:paraId="13ADB32F" w14:textId="77777777" w:rsidTr="090EA6D2">
        <w:tc>
          <w:tcPr>
            <w:tcW w:w="2505" w:type="dxa"/>
          </w:tcPr>
          <w:p w14:paraId="716892B2" w14:textId="1EDBF3D7" w:rsidR="090EA6D2" w:rsidRDefault="090EA6D2" w:rsidP="090EA6D2">
            <w:pPr>
              <w:pStyle w:val="ListParagraph"/>
              <w:ind w:left="0"/>
            </w:pPr>
            <w:r>
              <w:t>ACC</w:t>
            </w:r>
          </w:p>
        </w:tc>
        <w:tc>
          <w:tcPr>
            <w:tcW w:w="2985" w:type="dxa"/>
          </w:tcPr>
          <w:p w14:paraId="7680B50F" w14:textId="3D819F7B" w:rsidR="090EA6D2" w:rsidRDefault="090EA6D2" w:rsidP="090EA6D2">
            <w:r>
              <w:t>58900</w:t>
            </w:r>
          </w:p>
        </w:tc>
        <w:tc>
          <w:tcPr>
            <w:tcW w:w="3135" w:type="dxa"/>
          </w:tcPr>
          <w:p w14:paraId="0329FE2A" w14:textId="14B96157" w:rsidR="090EA6D2" w:rsidRDefault="090EA6D2" w:rsidP="090EA6D2">
            <w:r>
              <w:t>42100</w:t>
            </w:r>
          </w:p>
        </w:tc>
      </w:tr>
      <w:tr w:rsidR="090EA6D2" w14:paraId="00AC09FD" w14:textId="77777777" w:rsidTr="090EA6D2">
        <w:tc>
          <w:tcPr>
            <w:tcW w:w="2505" w:type="dxa"/>
          </w:tcPr>
          <w:p w14:paraId="3DF77EC6" w14:textId="61A67D66" w:rsidR="090EA6D2" w:rsidRDefault="090EA6D2" w:rsidP="090EA6D2">
            <w:pPr>
              <w:pStyle w:val="ListParagraph"/>
              <w:spacing w:line="259" w:lineRule="auto"/>
              <w:ind w:left="0"/>
            </w:pPr>
            <w:r>
              <w:t>Big 12</w:t>
            </w:r>
          </w:p>
        </w:tc>
        <w:tc>
          <w:tcPr>
            <w:tcW w:w="2985" w:type="dxa"/>
          </w:tcPr>
          <w:p w14:paraId="5A1A87AB" w14:textId="5294BC36" w:rsidR="090EA6D2" w:rsidRDefault="090EA6D2" w:rsidP="090EA6D2">
            <w:r>
              <w:t>49700</w:t>
            </w:r>
          </w:p>
        </w:tc>
        <w:tc>
          <w:tcPr>
            <w:tcW w:w="3135" w:type="dxa"/>
          </w:tcPr>
          <w:p w14:paraId="6504945B" w14:textId="3962ECB3" w:rsidR="090EA6D2" w:rsidRDefault="090EA6D2" w:rsidP="090EA6D2">
            <w:r>
              <w:t>42400</w:t>
            </w:r>
          </w:p>
        </w:tc>
      </w:tr>
      <w:tr w:rsidR="090EA6D2" w14:paraId="300BE787" w14:textId="77777777" w:rsidTr="090EA6D2">
        <w:tc>
          <w:tcPr>
            <w:tcW w:w="2505" w:type="dxa"/>
          </w:tcPr>
          <w:p w14:paraId="5C7C8337" w14:textId="4A2572FA" w:rsidR="090EA6D2" w:rsidRDefault="090EA6D2" w:rsidP="090EA6D2">
            <w:pPr>
              <w:pStyle w:val="ListParagraph"/>
              <w:ind w:left="0"/>
            </w:pPr>
            <w:r>
              <w:t>Big Ten</w:t>
            </w:r>
          </w:p>
        </w:tc>
        <w:tc>
          <w:tcPr>
            <w:tcW w:w="2985" w:type="dxa"/>
          </w:tcPr>
          <w:p w14:paraId="0B8411C6" w14:textId="3B8CF7D3" w:rsidR="090EA6D2" w:rsidRDefault="090EA6D2" w:rsidP="090EA6D2">
            <w:r>
              <w:t>52900</w:t>
            </w:r>
          </w:p>
        </w:tc>
        <w:tc>
          <w:tcPr>
            <w:tcW w:w="3135" w:type="dxa"/>
          </w:tcPr>
          <w:p w14:paraId="67B42E2B" w14:textId="7DBA7B24" w:rsidR="090EA6D2" w:rsidRDefault="090EA6D2" w:rsidP="090EA6D2">
            <w:r>
              <w:t>44700</w:t>
            </w:r>
          </w:p>
        </w:tc>
      </w:tr>
      <w:tr w:rsidR="090EA6D2" w14:paraId="2CE0C836" w14:textId="77777777" w:rsidTr="090EA6D2">
        <w:tc>
          <w:tcPr>
            <w:tcW w:w="2505" w:type="dxa"/>
          </w:tcPr>
          <w:p w14:paraId="79F2B2B9" w14:textId="4F8E5C40" w:rsidR="090EA6D2" w:rsidRDefault="090EA6D2" w:rsidP="090EA6D2">
            <w:pPr>
              <w:pStyle w:val="ListParagraph"/>
              <w:spacing w:line="259" w:lineRule="auto"/>
              <w:ind w:left="0"/>
            </w:pPr>
            <w:r>
              <w:t>Pac-12</w:t>
            </w:r>
          </w:p>
        </w:tc>
        <w:tc>
          <w:tcPr>
            <w:tcW w:w="2985" w:type="dxa"/>
          </w:tcPr>
          <w:p w14:paraId="5DB2CD66" w14:textId="6209ED4E" w:rsidR="090EA6D2" w:rsidRDefault="090EA6D2" w:rsidP="090EA6D2">
            <w:r>
              <w:t>70400</w:t>
            </w:r>
          </w:p>
        </w:tc>
        <w:tc>
          <w:tcPr>
            <w:tcW w:w="3135" w:type="dxa"/>
          </w:tcPr>
          <w:p w14:paraId="3E30DFAB" w14:textId="5F1F7653" w:rsidR="090EA6D2" w:rsidRDefault="090EA6D2" w:rsidP="090EA6D2">
            <w:r>
              <w:t>42200</w:t>
            </w:r>
          </w:p>
        </w:tc>
      </w:tr>
      <w:tr w:rsidR="090EA6D2" w14:paraId="02B291C3" w14:textId="77777777" w:rsidTr="090EA6D2">
        <w:tc>
          <w:tcPr>
            <w:tcW w:w="2505" w:type="dxa"/>
          </w:tcPr>
          <w:p w14:paraId="3F0D94FE" w14:textId="1F4A2CCC" w:rsidR="090EA6D2" w:rsidRDefault="090EA6D2" w:rsidP="090EA6D2">
            <w:pPr>
              <w:pStyle w:val="ListParagraph"/>
              <w:spacing w:line="259" w:lineRule="auto"/>
              <w:ind w:left="0"/>
            </w:pPr>
            <w:r>
              <w:t>SEC</w:t>
            </w:r>
          </w:p>
        </w:tc>
        <w:tc>
          <w:tcPr>
            <w:tcW w:w="2985" w:type="dxa"/>
          </w:tcPr>
          <w:p w14:paraId="7FB15E25" w14:textId="4637389B" w:rsidR="090EA6D2" w:rsidRDefault="090EA6D2" w:rsidP="090EA6D2">
            <w:r>
              <w:t>51200</w:t>
            </w:r>
          </w:p>
        </w:tc>
        <w:tc>
          <w:tcPr>
            <w:tcW w:w="3135" w:type="dxa"/>
          </w:tcPr>
          <w:p w14:paraId="6D2D6702" w14:textId="5E0D98FE" w:rsidR="090EA6D2" w:rsidRDefault="090EA6D2" w:rsidP="090EA6D2">
            <w:r>
              <w:t>40000</w:t>
            </w:r>
          </w:p>
        </w:tc>
      </w:tr>
    </w:tbl>
    <w:p w14:paraId="1C922AC1" w14:textId="29B0B595" w:rsidR="090EA6D2" w:rsidRDefault="090EA6D2" w:rsidP="090EA6D2">
      <w:pPr>
        <w:ind w:firstLine="720"/>
      </w:pPr>
    </w:p>
    <w:p w14:paraId="5D788C73" w14:textId="7A8B00C5" w:rsidR="681D0CF7" w:rsidRDefault="681D0CF7" w:rsidP="5F349600">
      <w:pPr>
        <w:ind w:left="720"/>
      </w:pPr>
      <w:r>
        <w:t>The summary table shows</w:t>
      </w:r>
      <w:r w:rsidR="2F55BA2E">
        <w:t xml:space="preserve"> that the minimum starting salaries are fairly even across conferences ranging from $40,000 to $44,700; however, the </w:t>
      </w:r>
      <w:r w:rsidR="42396369">
        <w:t>maximum starting salaries differ</w:t>
      </w:r>
      <w:r w:rsidR="6AF621D1">
        <w:t xml:space="preserve"> quite a bit</w:t>
      </w:r>
      <w:r w:rsidR="42396369">
        <w:t xml:space="preserve">. </w:t>
      </w:r>
      <w:r w:rsidR="7EDCE403">
        <w:t xml:space="preserve">The </w:t>
      </w:r>
      <w:r w:rsidR="0F86173D">
        <w:t>Pac</w:t>
      </w:r>
      <w:r w:rsidR="189E7D9B">
        <w:t xml:space="preserve">-12 </w:t>
      </w:r>
      <w:r w:rsidR="25660355">
        <w:t xml:space="preserve">conference </w:t>
      </w:r>
      <w:r w:rsidR="0F86173D">
        <w:t>has</w:t>
      </w:r>
      <w:r w:rsidR="189E7D9B">
        <w:t xml:space="preserve"> the highest maximum starting salary at $70,400 and behind it is the ACC</w:t>
      </w:r>
      <w:r w:rsidR="088955F0">
        <w:t xml:space="preserve"> at</w:t>
      </w:r>
      <w:r w:rsidR="42396369">
        <w:t xml:space="preserve"> </w:t>
      </w:r>
      <w:r w:rsidR="3924F304">
        <w:t>$</w:t>
      </w:r>
      <w:r w:rsidR="088955F0">
        <w:t>58,900.</w:t>
      </w:r>
      <w:r w:rsidR="42396369">
        <w:t xml:space="preserve"> </w:t>
      </w:r>
      <w:r w:rsidR="088955F0">
        <w:t xml:space="preserve">The ACC and Pac-12 also have </w:t>
      </w:r>
      <w:r w:rsidR="1752BAF1">
        <w:t>similar</w:t>
      </w:r>
      <w:r w:rsidR="088955F0">
        <w:t xml:space="preserve"> minimum starting </w:t>
      </w:r>
      <w:r w:rsidR="40670054">
        <w:t>sala</w:t>
      </w:r>
      <w:r w:rsidR="7373BF9F">
        <w:t>ries at $42,100 and $42,200, respectively. These conferences show the largest difference in minimum and maximum starting salaries out of all conferences in the Power 5.</w:t>
      </w:r>
      <w:r w:rsidR="54A9CAD8">
        <w:t xml:space="preserve"> We displayed these results in a grouped bar chart</w:t>
      </w:r>
      <w:r w:rsidR="17C145F5">
        <w:t xml:space="preserve"> using ggplot2</w:t>
      </w:r>
      <w:r w:rsidR="54A9CAD8">
        <w:t xml:space="preserve">, </w:t>
      </w:r>
      <w:r w:rsidR="57131E45">
        <w:t>which displays</w:t>
      </w:r>
      <w:r w:rsidR="54A9CAD8">
        <w:t xml:space="preserve"> the minimum and maximum starting salaries </w:t>
      </w:r>
      <w:r w:rsidR="79C6752A">
        <w:t>grouped by each</w:t>
      </w:r>
      <w:r w:rsidR="04CABCA8">
        <w:t xml:space="preserve"> conference.</w:t>
      </w:r>
      <w:r w:rsidR="5C7DC6A6">
        <w:t xml:space="preserve"> </w:t>
      </w:r>
      <w:r w:rsidR="5A8DB2E4">
        <w:t>Figure 3 displays the resulting grouped bar chart</w:t>
      </w:r>
      <w:r w:rsidR="5C7DC6A6">
        <w:t>.</w:t>
      </w:r>
    </w:p>
    <w:p w14:paraId="7E647E33" w14:textId="1E8652CA" w:rsidR="090EA6D2" w:rsidRDefault="090EA6D2" w:rsidP="090EA6D2">
      <w:pPr>
        <w:ind w:firstLine="720"/>
      </w:pPr>
    </w:p>
    <w:p w14:paraId="182CC102" w14:textId="77777777" w:rsidR="00526508" w:rsidRDefault="51EEBBFE" w:rsidP="1C45764C">
      <w:pPr>
        <w:ind w:firstLine="720"/>
        <w:jc w:val="center"/>
        <w:rPr>
          <w:i/>
        </w:rPr>
      </w:pPr>
      <w:r>
        <w:rPr>
          <w:noProof/>
        </w:rPr>
        <w:drawing>
          <wp:inline distT="0" distB="0" distL="0" distR="0" wp14:anchorId="3E55F5B4" wp14:editId="5C0725AE">
            <wp:extent cx="4572000" cy="2590800"/>
            <wp:effectExtent l="0" t="0" r="0" b="0"/>
            <wp:docPr id="67669924" name="Picture 67669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699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BC96" w14:textId="24DCDFF0" w:rsidR="5D315739" w:rsidRDefault="38179C3E" w:rsidP="711E9A2D">
      <w:pPr>
        <w:ind w:firstLine="720"/>
        <w:jc w:val="center"/>
        <w:rPr>
          <w:i/>
        </w:rPr>
      </w:pPr>
      <w:r w:rsidRPr="5C3E20BB">
        <w:rPr>
          <w:i/>
          <w:iCs/>
        </w:rPr>
        <w:t>Figure 3</w:t>
      </w:r>
      <w:r w:rsidR="7708200E" w:rsidRPr="5C3E20BB">
        <w:rPr>
          <w:i/>
          <w:iCs/>
        </w:rPr>
        <w:t xml:space="preserve">: Minimum and Maximum Starting </w:t>
      </w:r>
      <w:r w:rsidR="00FF6098" w:rsidRPr="6F2146E4">
        <w:rPr>
          <w:i/>
          <w:iCs/>
        </w:rPr>
        <w:t>Median</w:t>
      </w:r>
      <w:r w:rsidR="7708200E" w:rsidRPr="7C9E2467">
        <w:rPr>
          <w:i/>
          <w:iCs/>
        </w:rPr>
        <w:t xml:space="preserve"> </w:t>
      </w:r>
      <w:r w:rsidR="7708200E" w:rsidRPr="5C3E20BB">
        <w:rPr>
          <w:i/>
          <w:iCs/>
        </w:rPr>
        <w:t xml:space="preserve">Salaries by </w:t>
      </w:r>
      <w:r w:rsidR="7708200E" w:rsidRPr="38A713C5">
        <w:rPr>
          <w:i/>
          <w:iCs/>
        </w:rPr>
        <w:t>Conference</w:t>
      </w:r>
    </w:p>
    <w:p w14:paraId="786E4C74" w14:textId="49B2DDC9" w:rsidR="00785338" w:rsidRDefault="00785338" w:rsidP="00AE5827"/>
    <w:p w14:paraId="45C0D02C" w14:textId="12CE8F64" w:rsidR="00C15033" w:rsidRPr="006D7A7C" w:rsidRDefault="11330558" w:rsidP="00AE5827">
      <w:pPr>
        <w:rPr>
          <w:rFonts w:eastAsia="Times New Roman" w:cstheme="minorHAnsi"/>
          <w:color w:val="0563C1" w:themeColor="hyperlink"/>
          <w:sz w:val="20"/>
          <w:szCs w:val="20"/>
          <w:u w:val="single"/>
        </w:rPr>
      </w:pPr>
      <w:r w:rsidRPr="006D7A7C">
        <w:rPr>
          <w:rFonts w:eastAsia="Times New Roman" w:cstheme="minorHAnsi"/>
          <w:sz w:val="20"/>
          <w:szCs w:val="20"/>
          <w:vertAlign w:val="superscript"/>
        </w:rPr>
        <w:t>4</w:t>
      </w:r>
      <w:hyperlink r:id="rId14">
        <w:r w:rsidR="008C1044" w:rsidRPr="006D7A7C">
          <w:rPr>
            <w:rStyle w:val="Hyperlink"/>
            <w:rFonts w:eastAsia="Times New Roman" w:cstheme="minorHAnsi"/>
            <w:sz w:val="20"/>
            <w:szCs w:val="20"/>
          </w:rPr>
          <w:t>https://cran.r-project.org/web/packages/dplyr/</w:t>
        </w:r>
      </w:hyperlink>
    </w:p>
    <w:p w14:paraId="5A16213B" w14:textId="31C57AC6" w:rsidR="74153577" w:rsidRPr="00C92199" w:rsidRDefault="74153577" w:rsidP="00C92199">
      <w:pPr>
        <w:ind w:firstLine="720"/>
        <w:jc w:val="center"/>
      </w:pPr>
    </w:p>
    <w:p w14:paraId="5D77ACC7" w14:textId="70C23705" w:rsidR="3BD72D9F" w:rsidRDefault="00962C45" w:rsidP="090EA6D2">
      <w:pPr>
        <w:pStyle w:val="ListParagraph"/>
        <w:numPr>
          <w:ilvl w:val="1"/>
          <w:numId w:val="1"/>
        </w:numPr>
        <w:spacing w:line="259" w:lineRule="auto"/>
        <w:rPr>
          <w:i/>
          <w:iCs/>
        </w:rPr>
      </w:pPr>
      <w:r>
        <w:rPr>
          <w:i/>
          <w:iCs/>
        </w:rPr>
        <w:t>Starting Median Salary Fitted with Region and Conference</w:t>
      </w:r>
    </w:p>
    <w:p w14:paraId="775F789A" w14:textId="1E36B029" w:rsidR="00433C16" w:rsidRDefault="00F92ECF" w:rsidP="00433C16">
      <w:pPr>
        <w:pStyle w:val="ListParagraph"/>
        <w:spacing w:line="259" w:lineRule="auto"/>
      </w:pPr>
      <w:r>
        <w:lastRenderedPageBreak/>
        <w:t xml:space="preserve">We thought it was necessary to see how </w:t>
      </w:r>
      <w:r w:rsidR="00E449A9">
        <w:t>r</w:t>
      </w:r>
      <w:r>
        <w:t xml:space="preserve">egion and </w:t>
      </w:r>
      <w:r w:rsidR="00E449A9">
        <w:t>c</w:t>
      </w:r>
      <w:r>
        <w:t xml:space="preserve">onference </w:t>
      </w:r>
      <w:r w:rsidR="005A2D19">
        <w:t>a</w:t>
      </w:r>
      <w:r w:rsidR="00A54A5D">
        <w:t xml:space="preserve">ffected </w:t>
      </w:r>
      <w:r w:rsidR="00E449A9">
        <w:t>st</w:t>
      </w:r>
      <w:r w:rsidR="00A54A5D">
        <w:t xml:space="preserve">arting </w:t>
      </w:r>
      <w:r w:rsidR="00E449A9">
        <w:t>m</w:t>
      </w:r>
      <w:r w:rsidR="00A54A5D">
        <w:t xml:space="preserve">edian </w:t>
      </w:r>
      <w:r w:rsidR="00E449A9">
        <w:t>s</w:t>
      </w:r>
      <w:r w:rsidR="00A54A5D">
        <w:t>alary</w:t>
      </w:r>
      <w:r w:rsidR="00777075">
        <w:t xml:space="preserve">. </w:t>
      </w:r>
      <w:r w:rsidR="00715296">
        <w:t xml:space="preserve">The </w:t>
      </w:r>
      <w:r w:rsidR="00DE502F">
        <w:t>model produced the output below.</w:t>
      </w:r>
      <w:r w:rsidR="00BB5E84">
        <w:t xml:space="preserve"> It seems </w:t>
      </w:r>
      <w:r w:rsidR="00FD4548">
        <w:t xml:space="preserve">the Big Ten and Pac 12 are the only conference that value to median starting salary. All regions lower the starting </w:t>
      </w:r>
      <w:r w:rsidR="00494752">
        <w:t>m</w:t>
      </w:r>
      <w:r w:rsidR="00FD4548">
        <w:t xml:space="preserve">edian </w:t>
      </w:r>
      <w:r w:rsidR="00494752">
        <w:t>s</w:t>
      </w:r>
      <w:r w:rsidR="00FD4548">
        <w:t>alary due to California’s significan</w:t>
      </w:r>
      <w:r w:rsidR="003C2F43">
        <w:t xml:space="preserve">ce, as well as it being the feature removed </w:t>
      </w:r>
      <w:r w:rsidR="00497D29">
        <w:t>by R when creating our model.</w:t>
      </w:r>
    </w:p>
    <w:p w14:paraId="7508D833" w14:textId="77777777" w:rsidR="00BB5E84" w:rsidRDefault="00BB5E84" w:rsidP="00433C16">
      <w:pPr>
        <w:pStyle w:val="ListParagraph"/>
        <w:spacing w:line="259" w:lineRule="auto"/>
      </w:pPr>
    </w:p>
    <w:p w14:paraId="13FCF408" w14:textId="1A79D24D" w:rsidR="00BB5E84" w:rsidRDefault="00BB5E84" w:rsidP="00433C16">
      <w:pPr>
        <w:pStyle w:val="ListParagraph"/>
        <w:spacing w:line="259" w:lineRule="auto"/>
      </w:pPr>
      <w:r>
        <w:t>Table 5 Regression Model Output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282"/>
      </w:tblGrid>
      <w:tr w:rsidR="00F55ACB" w14:paraId="5E113D1D" w14:textId="77777777" w:rsidTr="00F55ACB">
        <w:tc>
          <w:tcPr>
            <w:tcW w:w="4675" w:type="dxa"/>
          </w:tcPr>
          <w:p w14:paraId="60D8EB6F" w14:textId="5C7F2A14" w:rsidR="00F55ACB" w:rsidRDefault="00F55ACB" w:rsidP="00433C16">
            <w:pPr>
              <w:pStyle w:val="ListParagraph"/>
              <w:spacing w:line="259" w:lineRule="auto"/>
              <w:ind w:left="0"/>
            </w:pPr>
            <w:r>
              <w:t>Intercept</w:t>
            </w:r>
          </w:p>
        </w:tc>
        <w:tc>
          <w:tcPr>
            <w:tcW w:w="4675" w:type="dxa"/>
          </w:tcPr>
          <w:p w14:paraId="7CCCF649" w14:textId="693BE9DD" w:rsidR="00F55ACB" w:rsidRDefault="00F55ACB" w:rsidP="00433C16">
            <w:pPr>
              <w:pStyle w:val="ListParagraph"/>
              <w:spacing w:line="259" w:lineRule="auto"/>
              <w:ind w:left="0"/>
            </w:pPr>
            <w:r>
              <w:t>5</w:t>
            </w:r>
            <w:r w:rsidR="005F7CB6">
              <w:t>0,084</w:t>
            </w:r>
          </w:p>
        </w:tc>
      </w:tr>
      <w:tr w:rsidR="00F55ACB" w14:paraId="3971AD90" w14:textId="77777777" w:rsidTr="00F55ACB">
        <w:tc>
          <w:tcPr>
            <w:tcW w:w="4675" w:type="dxa"/>
          </w:tcPr>
          <w:p w14:paraId="56625F45" w14:textId="2A7FA8A0" w:rsidR="00F55ACB" w:rsidRDefault="00505F77" w:rsidP="00433C16">
            <w:pPr>
              <w:pStyle w:val="ListParagraph"/>
              <w:spacing w:line="259" w:lineRule="auto"/>
              <w:ind w:left="0"/>
            </w:pPr>
            <w:r>
              <w:t>Big 12</w:t>
            </w:r>
          </w:p>
        </w:tc>
        <w:tc>
          <w:tcPr>
            <w:tcW w:w="4675" w:type="dxa"/>
          </w:tcPr>
          <w:p w14:paraId="16EDBCD3" w14:textId="2E89C2FB" w:rsidR="00F55ACB" w:rsidRDefault="005F7CB6" w:rsidP="00433C16">
            <w:pPr>
              <w:pStyle w:val="ListParagraph"/>
              <w:spacing w:line="259" w:lineRule="auto"/>
              <w:ind w:left="0"/>
            </w:pPr>
            <w:r>
              <w:t>-4,249</w:t>
            </w:r>
          </w:p>
        </w:tc>
      </w:tr>
      <w:tr w:rsidR="00F55ACB" w14:paraId="418AA404" w14:textId="77777777" w:rsidTr="00F55ACB">
        <w:tc>
          <w:tcPr>
            <w:tcW w:w="4675" w:type="dxa"/>
          </w:tcPr>
          <w:p w14:paraId="591C4F05" w14:textId="327EA13C" w:rsidR="00F55ACB" w:rsidRDefault="00505F77" w:rsidP="00433C16">
            <w:pPr>
              <w:pStyle w:val="ListParagraph"/>
              <w:spacing w:line="259" w:lineRule="auto"/>
              <w:ind w:left="0"/>
            </w:pPr>
            <w:r>
              <w:t>Big Ten</w:t>
            </w:r>
          </w:p>
        </w:tc>
        <w:tc>
          <w:tcPr>
            <w:tcW w:w="4675" w:type="dxa"/>
          </w:tcPr>
          <w:p w14:paraId="2E104743" w14:textId="734F2CEE" w:rsidR="00F55ACB" w:rsidRDefault="005F7CB6" w:rsidP="00433C16">
            <w:pPr>
              <w:pStyle w:val="ListParagraph"/>
              <w:spacing w:line="259" w:lineRule="auto"/>
              <w:ind w:left="0"/>
            </w:pPr>
            <w:r>
              <w:t>992</w:t>
            </w:r>
          </w:p>
        </w:tc>
      </w:tr>
      <w:tr w:rsidR="00F55ACB" w14:paraId="163DE94A" w14:textId="77777777" w:rsidTr="00F55ACB">
        <w:tc>
          <w:tcPr>
            <w:tcW w:w="4675" w:type="dxa"/>
          </w:tcPr>
          <w:p w14:paraId="7EC2FCA6" w14:textId="6BA581F8" w:rsidR="00F55ACB" w:rsidRDefault="00505F77" w:rsidP="00433C16">
            <w:pPr>
              <w:pStyle w:val="ListParagraph"/>
              <w:spacing w:line="259" w:lineRule="auto"/>
              <w:ind w:left="0"/>
            </w:pPr>
            <w:r>
              <w:t>Pac 12</w:t>
            </w:r>
          </w:p>
        </w:tc>
        <w:tc>
          <w:tcPr>
            <w:tcW w:w="4675" w:type="dxa"/>
          </w:tcPr>
          <w:p w14:paraId="19636C49" w14:textId="23585415" w:rsidR="00F55ACB" w:rsidRDefault="005F7CB6" w:rsidP="00433C16">
            <w:pPr>
              <w:pStyle w:val="ListParagraph"/>
              <w:spacing w:line="259" w:lineRule="auto"/>
              <w:ind w:left="0"/>
            </w:pPr>
            <w:r>
              <w:t>9,140</w:t>
            </w:r>
          </w:p>
        </w:tc>
      </w:tr>
      <w:tr w:rsidR="00F55ACB" w14:paraId="4885ACB9" w14:textId="77777777" w:rsidTr="00F55ACB">
        <w:tc>
          <w:tcPr>
            <w:tcW w:w="4675" w:type="dxa"/>
          </w:tcPr>
          <w:p w14:paraId="602B7B45" w14:textId="1FD4C8CF" w:rsidR="00F55ACB" w:rsidRDefault="00505F77" w:rsidP="00433C16">
            <w:pPr>
              <w:pStyle w:val="ListParagraph"/>
              <w:spacing w:line="259" w:lineRule="auto"/>
              <w:ind w:left="0"/>
            </w:pPr>
            <w:r>
              <w:t>SEC</w:t>
            </w:r>
          </w:p>
        </w:tc>
        <w:tc>
          <w:tcPr>
            <w:tcW w:w="4675" w:type="dxa"/>
          </w:tcPr>
          <w:p w14:paraId="7F24F987" w14:textId="2BC08DB7" w:rsidR="00F55ACB" w:rsidRDefault="005F7CB6" w:rsidP="00433C16">
            <w:pPr>
              <w:pStyle w:val="ListParagraph"/>
              <w:spacing w:line="259" w:lineRule="auto"/>
              <w:ind w:left="0"/>
            </w:pPr>
            <w:r>
              <w:t>-5</w:t>
            </w:r>
            <w:r w:rsidR="00505F77">
              <w:t>,</w:t>
            </w:r>
            <w:r>
              <w:t>3</w:t>
            </w:r>
            <w:r w:rsidR="00505F77">
              <w:t>29</w:t>
            </w:r>
          </w:p>
        </w:tc>
      </w:tr>
      <w:tr w:rsidR="00F55ACB" w14:paraId="4F652B4D" w14:textId="77777777" w:rsidTr="00F55ACB">
        <w:tc>
          <w:tcPr>
            <w:tcW w:w="4675" w:type="dxa"/>
          </w:tcPr>
          <w:p w14:paraId="4B4018A3" w14:textId="26D0FFED" w:rsidR="00F55ACB" w:rsidRDefault="00505F77" w:rsidP="00433C16">
            <w:pPr>
              <w:pStyle w:val="ListParagraph"/>
              <w:spacing w:line="259" w:lineRule="auto"/>
              <w:ind w:left="0"/>
            </w:pPr>
            <w:r>
              <w:t xml:space="preserve">Midwestern </w:t>
            </w:r>
          </w:p>
        </w:tc>
        <w:tc>
          <w:tcPr>
            <w:tcW w:w="4675" w:type="dxa"/>
          </w:tcPr>
          <w:p w14:paraId="74FE0079" w14:textId="49931CB1" w:rsidR="00F55ACB" w:rsidRDefault="00505F77" w:rsidP="00433C16">
            <w:pPr>
              <w:pStyle w:val="ListParagraph"/>
              <w:spacing w:line="259" w:lineRule="auto"/>
              <w:ind w:left="0"/>
            </w:pPr>
            <w:r>
              <w:t>-2,573</w:t>
            </w:r>
          </w:p>
        </w:tc>
      </w:tr>
      <w:tr w:rsidR="00F55ACB" w14:paraId="7A469107" w14:textId="77777777" w:rsidTr="00F55ACB">
        <w:tc>
          <w:tcPr>
            <w:tcW w:w="4675" w:type="dxa"/>
          </w:tcPr>
          <w:p w14:paraId="773B00DC" w14:textId="5504CCDC" w:rsidR="00F55ACB" w:rsidRDefault="00505F77" w:rsidP="00433C16">
            <w:pPr>
              <w:pStyle w:val="ListParagraph"/>
              <w:spacing w:line="259" w:lineRule="auto"/>
              <w:ind w:left="0"/>
            </w:pPr>
            <w:r>
              <w:t>Northeastern</w:t>
            </w:r>
          </w:p>
        </w:tc>
        <w:tc>
          <w:tcPr>
            <w:tcW w:w="4675" w:type="dxa"/>
          </w:tcPr>
          <w:p w14:paraId="2D9CFA99" w14:textId="68B0AB4B" w:rsidR="00F55ACB" w:rsidRDefault="00505F77" w:rsidP="00433C16">
            <w:pPr>
              <w:pStyle w:val="ListParagraph"/>
              <w:spacing w:line="259" w:lineRule="auto"/>
              <w:ind w:left="0"/>
            </w:pPr>
            <w:r>
              <w:t>-930</w:t>
            </w:r>
          </w:p>
        </w:tc>
      </w:tr>
      <w:tr w:rsidR="00F55ACB" w14:paraId="741143BD" w14:textId="77777777" w:rsidTr="00F55ACB">
        <w:tc>
          <w:tcPr>
            <w:tcW w:w="4675" w:type="dxa"/>
          </w:tcPr>
          <w:p w14:paraId="0036A465" w14:textId="7E3B9B47" w:rsidR="00F55ACB" w:rsidRDefault="00505F77" w:rsidP="00433C16">
            <w:pPr>
              <w:pStyle w:val="ListParagraph"/>
              <w:spacing w:line="259" w:lineRule="auto"/>
              <w:ind w:left="0"/>
            </w:pPr>
            <w:r>
              <w:t>Western</w:t>
            </w:r>
          </w:p>
        </w:tc>
        <w:tc>
          <w:tcPr>
            <w:tcW w:w="4675" w:type="dxa"/>
          </w:tcPr>
          <w:p w14:paraId="4B4D6B11" w14:textId="391A85FD" w:rsidR="00F55ACB" w:rsidRDefault="00505F77" w:rsidP="00433C16">
            <w:pPr>
              <w:pStyle w:val="ListParagraph"/>
              <w:spacing w:line="259" w:lineRule="auto"/>
              <w:ind w:left="0"/>
            </w:pPr>
            <w:r>
              <w:t>-13,325</w:t>
            </w:r>
          </w:p>
        </w:tc>
      </w:tr>
    </w:tbl>
    <w:p w14:paraId="71A2E8CC" w14:textId="77777777" w:rsidR="00DE502F" w:rsidRPr="00433C16" w:rsidRDefault="00DE502F" w:rsidP="00433C16">
      <w:pPr>
        <w:pStyle w:val="ListParagraph"/>
        <w:spacing w:line="259" w:lineRule="auto"/>
      </w:pPr>
    </w:p>
    <w:p w14:paraId="1F73F739" w14:textId="26432BDF" w:rsidR="00AD0CF9" w:rsidRDefault="00160DEC" w:rsidP="2BF2026A">
      <w:pPr>
        <w:pStyle w:val="ListParagraph"/>
        <w:spacing w:line="259" w:lineRule="auto"/>
      </w:pPr>
      <w:r>
        <w:t xml:space="preserve">When creating a regression </w:t>
      </w:r>
      <w:r w:rsidR="00126EB5">
        <w:t>model,</w:t>
      </w:r>
      <w:r>
        <w:t xml:space="preserve"> it is necessary to test assumptions to validate the model accuracy. Below</w:t>
      </w:r>
      <w:r w:rsidR="00875F57">
        <w:t xml:space="preserve"> (Figure 4)</w:t>
      </w:r>
      <w:r>
        <w:t xml:space="preserve"> is a </w:t>
      </w:r>
      <w:r w:rsidR="00C72E2E">
        <w:t>Q-Q plot of the model’s residuals.</w:t>
      </w:r>
      <w:r w:rsidR="004A77BC">
        <w:t xml:space="preserve"> The graph indicates </w:t>
      </w:r>
      <w:r w:rsidR="000E19AA">
        <w:t xml:space="preserve">that </w:t>
      </w:r>
      <w:r w:rsidR="001D17E6">
        <w:t xml:space="preserve">data passes the normality test and </w:t>
      </w:r>
      <w:r w:rsidR="00C43887">
        <w:t>Coefficient</w:t>
      </w:r>
      <w:r w:rsidR="001D17E6">
        <w:t xml:space="preserve"> </w:t>
      </w:r>
      <w:r w:rsidR="00C43887">
        <w:t>sizes are accurate. The indication is seen by t</w:t>
      </w:r>
      <w:r w:rsidR="007965A7">
        <w:t xml:space="preserve">he </w:t>
      </w:r>
      <w:r w:rsidR="00841015">
        <w:t xml:space="preserve">marks rarely deviating from the </w:t>
      </w:r>
      <w:r w:rsidR="008E19FB">
        <w:t>line.</w:t>
      </w:r>
    </w:p>
    <w:p w14:paraId="361BBB8F" w14:textId="056822B1" w:rsidR="00AD0CF9" w:rsidRDefault="009E3082" w:rsidP="090EA6D2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3002F2" wp14:editId="3F78C13C">
            <wp:simplePos x="0" y="0"/>
            <wp:positionH relativeFrom="column">
              <wp:posOffset>971550</wp:posOffset>
            </wp:positionH>
            <wp:positionV relativeFrom="paragraph">
              <wp:posOffset>142875</wp:posOffset>
            </wp:positionV>
            <wp:extent cx="4114800" cy="3065780"/>
            <wp:effectExtent l="0" t="0" r="0" b="1270"/>
            <wp:wrapTight wrapText="bothSides">
              <wp:wrapPolygon edited="0">
                <wp:start x="0" y="0"/>
                <wp:lineTo x="0" y="21475"/>
                <wp:lineTo x="21500" y="21475"/>
                <wp:lineTo x="215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C3FBE" w14:textId="048CC65D" w:rsidR="00126EB5" w:rsidRDefault="00126EB5" w:rsidP="00824CAF">
      <w:pPr>
        <w:jc w:val="center"/>
        <w:rPr>
          <w:i/>
        </w:rPr>
      </w:pPr>
    </w:p>
    <w:p w14:paraId="562F806B" w14:textId="338AE3E4" w:rsidR="00126EB5" w:rsidRDefault="00126EB5" w:rsidP="00F60958">
      <w:pPr>
        <w:tabs>
          <w:tab w:val="left" w:pos="1410"/>
        </w:tabs>
        <w:ind w:left="720"/>
      </w:pPr>
    </w:p>
    <w:p w14:paraId="1FF1AE47" w14:textId="5208A022" w:rsidR="005D0FF8" w:rsidRDefault="005D0FF8" w:rsidP="00F60958">
      <w:pPr>
        <w:tabs>
          <w:tab w:val="left" w:pos="1410"/>
        </w:tabs>
        <w:ind w:left="720"/>
      </w:pPr>
    </w:p>
    <w:p w14:paraId="40A75FBA" w14:textId="77777777" w:rsidR="005D0FF8" w:rsidRDefault="005D0FF8" w:rsidP="00F60958">
      <w:pPr>
        <w:tabs>
          <w:tab w:val="left" w:pos="1410"/>
        </w:tabs>
        <w:ind w:left="720"/>
      </w:pPr>
    </w:p>
    <w:p w14:paraId="38664B47" w14:textId="77777777" w:rsidR="005D0FF8" w:rsidRDefault="005D0FF8" w:rsidP="00F60958">
      <w:pPr>
        <w:tabs>
          <w:tab w:val="left" w:pos="1410"/>
        </w:tabs>
        <w:ind w:left="720"/>
      </w:pPr>
    </w:p>
    <w:p w14:paraId="2F000626" w14:textId="77777777" w:rsidR="005D0FF8" w:rsidRDefault="005D0FF8" w:rsidP="00F60958">
      <w:pPr>
        <w:tabs>
          <w:tab w:val="left" w:pos="1410"/>
        </w:tabs>
        <w:ind w:left="720"/>
      </w:pPr>
    </w:p>
    <w:p w14:paraId="167E060C" w14:textId="77777777" w:rsidR="005D0FF8" w:rsidRDefault="005D0FF8" w:rsidP="00F60958">
      <w:pPr>
        <w:tabs>
          <w:tab w:val="left" w:pos="1410"/>
        </w:tabs>
        <w:ind w:left="720"/>
      </w:pPr>
    </w:p>
    <w:p w14:paraId="468B9B4E" w14:textId="77777777" w:rsidR="005D0FF8" w:rsidRDefault="005D0FF8" w:rsidP="00F60958">
      <w:pPr>
        <w:tabs>
          <w:tab w:val="left" w:pos="1410"/>
        </w:tabs>
        <w:ind w:left="720"/>
      </w:pPr>
    </w:p>
    <w:p w14:paraId="3459C46E" w14:textId="77777777" w:rsidR="005D0FF8" w:rsidRDefault="005D0FF8" w:rsidP="00F60958">
      <w:pPr>
        <w:tabs>
          <w:tab w:val="left" w:pos="1410"/>
        </w:tabs>
        <w:ind w:left="720"/>
      </w:pPr>
    </w:p>
    <w:p w14:paraId="6B2D5451" w14:textId="77777777" w:rsidR="005D0FF8" w:rsidRDefault="005D0FF8" w:rsidP="00F60958">
      <w:pPr>
        <w:tabs>
          <w:tab w:val="left" w:pos="1410"/>
        </w:tabs>
        <w:ind w:left="720"/>
      </w:pPr>
    </w:p>
    <w:p w14:paraId="73FD4C4F" w14:textId="77777777" w:rsidR="005D0FF8" w:rsidRDefault="005D0FF8" w:rsidP="00F60958">
      <w:pPr>
        <w:tabs>
          <w:tab w:val="left" w:pos="1410"/>
        </w:tabs>
        <w:ind w:left="720"/>
      </w:pPr>
    </w:p>
    <w:p w14:paraId="65C5A9FA" w14:textId="77777777" w:rsidR="005D0FF8" w:rsidRDefault="005D0FF8" w:rsidP="00F60958">
      <w:pPr>
        <w:tabs>
          <w:tab w:val="left" w:pos="1410"/>
        </w:tabs>
        <w:ind w:left="720"/>
      </w:pPr>
    </w:p>
    <w:p w14:paraId="63ADEA42" w14:textId="77777777" w:rsidR="005D0FF8" w:rsidRDefault="005D0FF8" w:rsidP="00F60958">
      <w:pPr>
        <w:tabs>
          <w:tab w:val="left" w:pos="1410"/>
        </w:tabs>
        <w:ind w:left="720"/>
      </w:pPr>
    </w:p>
    <w:p w14:paraId="16F00B5F" w14:textId="16A6AB42" w:rsidR="005D0FF8" w:rsidRDefault="005D0FF8" w:rsidP="00F60958">
      <w:pPr>
        <w:tabs>
          <w:tab w:val="left" w:pos="1410"/>
        </w:tabs>
        <w:ind w:left="720"/>
      </w:pPr>
    </w:p>
    <w:p w14:paraId="61D6BF8C" w14:textId="2C7485AC" w:rsidR="005D0FF8" w:rsidRDefault="005D0FF8" w:rsidP="00F60958">
      <w:pPr>
        <w:tabs>
          <w:tab w:val="left" w:pos="1410"/>
        </w:tabs>
        <w:ind w:left="720"/>
      </w:pPr>
    </w:p>
    <w:p w14:paraId="5CECB8A4" w14:textId="734574C6" w:rsidR="005D0FF8" w:rsidRDefault="005D0FF8" w:rsidP="00F60958">
      <w:pPr>
        <w:tabs>
          <w:tab w:val="left" w:pos="1410"/>
        </w:tabs>
        <w:ind w:left="720"/>
      </w:pPr>
    </w:p>
    <w:p w14:paraId="1E2D5479" w14:textId="77777777" w:rsidR="00DE119C" w:rsidRDefault="00DE119C" w:rsidP="00DE119C">
      <w:pPr>
        <w:rPr>
          <w:i/>
          <w:iCs/>
        </w:rPr>
      </w:pPr>
    </w:p>
    <w:p w14:paraId="54C67915" w14:textId="1A06B8A0" w:rsidR="005D0FF8" w:rsidRPr="00AE5827" w:rsidRDefault="00DE119C" w:rsidP="00AE5827">
      <w:pPr>
        <w:jc w:val="center"/>
        <w:rPr>
          <w:i/>
        </w:rPr>
      </w:pPr>
      <w:r w:rsidRPr="00094505">
        <w:rPr>
          <w:i/>
          <w:iCs/>
        </w:rPr>
        <w:t>Figure 4 Quantile-Quantile Plot</w:t>
      </w:r>
    </w:p>
    <w:p w14:paraId="2FFD99BB" w14:textId="2CE830E7" w:rsidR="005D0FF8" w:rsidRDefault="005D0FF8" w:rsidP="00F60958">
      <w:pPr>
        <w:tabs>
          <w:tab w:val="left" w:pos="1410"/>
        </w:tabs>
        <w:ind w:left="720"/>
      </w:pPr>
    </w:p>
    <w:p w14:paraId="615848E2" w14:textId="6E4C01EB" w:rsidR="00AD0CF9" w:rsidRDefault="004051DF" w:rsidP="00F60958">
      <w:pPr>
        <w:tabs>
          <w:tab w:val="left" w:pos="1410"/>
        </w:tabs>
        <w:ind w:left="720"/>
      </w:pPr>
      <w:r>
        <w:t xml:space="preserve">Another assumption we wanted to visualize was the </w:t>
      </w:r>
      <w:r w:rsidR="00BE08C8">
        <w:t>Homoscedasticity</w:t>
      </w:r>
      <w:r>
        <w:t xml:space="preserve"> of the model</w:t>
      </w:r>
      <w:r w:rsidR="006B7EF8">
        <w:t xml:space="preserve"> which checks If</w:t>
      </w:r>
      <w:r w:rsidR="00F60958">
        <w:t xml:space="preserve"> instances have equal variances. </w:t>
      </w:r>
      <w:r w:rsidR="00C510F4">
        <w:t xml:space="preserve">The </w:t>
      </w:r>
      <w:r w:rsidR="00844B31">
        <w:t xml:space="preserve">plot below </w:t>
      </w:r>
      <w:r w:rsidR="00DE119C">
        <w:t>(Figure 5)</w:t>
      </w:r>
      <w:r w:rsidR="00875F57">
        <w:t xml:space="preserve"> </w:t>
      </w:r>
      <w:r w:rsidR="0015698D">
        <w:t xml:space="preserve">shows no true </w:t>
      </w:r>
      <w:r w:rsidR="0015698D">
        <w:lastRenderedPageBreak/>
        <w:t xml:space="preserve">pattern </w:t>
      </w:r>
      <w:r w:rsidR="00B02304">
        <w:t xml:space="preserve">except </w:t>
      </w:r>
      <w:r w:rsidR="00E46D53">
        <w:t xml:space="preserve">a slight skewness to the </w:t>
      </w:r>
      <w:r w:rsidR="00EF4794">
        <w:t xml:space="preserve">right. This </w:t>
      </w:r>
      <w:r w:rsidR="00126EB5">
        <w:t>test proves our regression model is appropriate for our data.</w:t>
      </w:r>
    </w:p>
    <w:p w14:paraId="33BBFEEC" w14:textId="286AB277" w:rsidR="006965FB" w:rsidRDefault="00E11AA1" w:rsidP="00937111">
      <w:pPr>
        <w:tabs>
          <w:tab w:val="left" w:pos="1410"/>
        </w:tabs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D67CDB0" wp14:editId="0987C8B5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5084064" cy="3355848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4" cy="335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E1C90" w14:textId="77777777" w:rsidR="00937111" w:rsidRPr="00937111" w:rsidRDefault="00937111" w:rsidP="00937111"/>
    <w:p w14:paraId="48C362E1" w14:textId="77777777" w:rsidR="00937111" w:rsidRPr="00937111" w:rsidRDefault="00937111" w:rsidP="00937111"/>
    <w:p w14:paraId="64D10D5D" w14:textId="77777777" w:rsidR="00937111" w:rsidRPr="00937111" w:rsidRDefault="00937111" w:rsidP="00937111"/>
    <w:p w14:paraId="24181042" w14:textId="77777777" w:rsidR="00937111" w:rsidRPr="00937111" w:rsidRDefault="00937111" w:rsidP="00937111"/>
    <w:p w14:paraId="5A687CAB" w14:textId="77777777" w:rsidR="00937111" w:rsidRPr="00937111" w:rsidRDefault="00937111" w:rsidP="00937111"/>
    <w:p w14:paraId="55549665" w14:textId="77777777" w:rsidR="00937111" w:rsidRPr="00937111" w:rsidRDefault="00937111" w:rsidP="00937111"/>
    <w:p w14:paraId="7A25EAB1" w14:textId="77777777" w:rsidR="00937111" w:rsidRPr="00937111" w:rsidRDefault="00937111" w:rsidP="00937111"/>
    <w:p w14:paraId="5253C9B2" w14:textId="77777777" w:rsidR="00937111" w:rsidRPr="00937111" w:rsidRDefault="00937111" w:rsidP="00937111"/>
    <w:p w14:paraId="4D0EFFB7" w14:textId="77777777" w:rsidR="00937111" w:rsidRPr="00937111" w:rsidRDefault="00937111" w:rsidP="00937111"/>
    <w:p w14:paraId="480DB61D" w14:textId="77777777" w:rsidR="00937111" w:rsidRPr="00937111" w:rsidRDefault="00937111" w:rsidP="00937111"/>
    <w:p w14:paraId="7C2CEA6B" w14:textId="77777777" w:rsidR="00937111" w:rsidRPr="00937111" w:rsidRDefault="00937111" w:rsidP="00937111"/>
    <w:p w14:paraId="03A11683" w14:textId="77777777" w:rsidR="00937111" w:rsidRPr="00937111" w:rsidRDefault="00937111" w:rsidP="00937111"/>
    <w:p w14:paraId="74B412DE" w14:textId="77777777" w:rsidR="00937111" w:rsidRPr="00937111" w:rsidRDefault="00937111" w:rsidP="00937111"/>
    <w:p w14:paraId="5A13AF1E" w14:textId="77777777" w:rsidR="00937111" w:rsidRDefault="00937111" w:rsidP="00937111"/>
    <w:p w14:paraId="5572ABBD" w14:textId="77777777" w:rsidR="00937111" w:rsidRDefault="00937111" w:rsidP="00937111"/>
    <w:p w14:paraId="69B9211C" w14:textId="77777777" w:rsidR="00937111" w:rsidRDefault="00937111" w:rsidP="00937111"/>
    <w:p w14:paraId="4A31020F" w14:textId="6063D7B2" w:rsidR="00937111" w:rsidRDefault="00937111" w:rsidP="00937111"/>
    <w:p w14:paraId="370F7E81" w14:textId="77777777" w:rsidR="00DE119C" w:rsidRPr="00875F57" w:rsidRDefault="00DE119C" w:rsidP="00DE119C">
      <w:pPr>
        <w:jc w:val="center"/>
        <w:rPr>
          <w:i/>
          <w:iCs/>
        </w:rPr>
      </w:pPr>
      <w:r w:rsidRPr="00875F57">
        <w:rPr>
          <w:i/>
          <w:iCs/>
        </w:rPr>
        <w:t>Figure 5 Homoscedasticity Scatter Plot</w:t>
      </w:r>
    </w:p>
    <w:p w14:paraId="1A4FCEC8" w14:textId="5E8BDFA4" w:rsidR="00937111" w:rsidRDefault="00937111" w:rsidP="00372C57">
      <w:pPr>
        <w:jc w:val="center"/>
      </w:pPr>
    </w:p>
    <w:p w14:paraId="16D30D44" w14:textId="77777777" w:rsidR="00937111" w:rsidRDefault="00937111" w:rsidP="00937111"/>
    <w:p w14:paraId="480390F4" w14:textId="77777777" w:rsidR="00937111" w:rsidRDefault="00937111" w:rsidP="00937111"/>
    <w:p w14:paraId="6F4C6272" w14:textId="797825EF" w:rsidR="00937111" w:rsidRDefault="00937111" w:rsidP="00937111">
      <w:pPr>
        <w:pStyle w:val="ListParagraph"/>
        <w:numPr>
          <w:ilvl w:val="0"/>
          <w:numId w:val="1"/>
        </w:numPr>
        <w:rPr>
          <w:b/>
          <w:bCs/>
        </w:rPr>
      </w:pPr>
      <w:r w:rsidRPr="00937111">
        <w:rPr>
          <w:b/>
          <w:bCs/>
        </w:rPr>
        <w:t>Conclusion</w:t>
      </w:r>
    </w:p>
    <w:p w14:paraId="006A2B67" w14:textId="77777777" w:rsidR="00FF06EE" w:rsidRDefault="00DA6771" w:rsidP="001C0556">
      <w:pPr>
        <w:pStyle w:val="ListParagraph"/>
      </w:pPr>
      <w:r>
        <w:t>In this project</w:t>
      </w:r>
      <w:r w:rsidR="00097B13">
        <w:t>,</w:t>
      </w:r>
      <w:r>
        <w:t xml:space="preserve"> we incorporated Kaggle Data for </w:t>
      </w:r>
      <w:r w:rsidR="0058005A">
        <w:t>all different types of schools with various information on them</w:t>
      </w:r>
      <w:r w:rsidR="0043251C">
        <w:t xml:space="preserve"> as well as </w:t>
      </w:r>
      <w:r w:rsidR="0037319B">
        <w:t xml:space="preserve">Power 5 conferences scraped from Wikipedia. </w:t>
      </w:r>
      <w:r w:rsidR="00BD2C9C">
        <w:t>Specifically</w:t>
      </w:r>
      <w:r w:rsidR="00247480">
        <w:t>,</w:t>
      </w:r>
      <w:r w:rsidR="00BD2C9C">
        <w:t xml:space="preserve"> we performed 4 analyses </w:t>
      </w:r>
      <w:r w:rsidR="00982E0F">
        <w:t>considering the relationship</w:t>
      </w:r>
      <w:r w:rsidR="007D74C2">
        <w:t xml:space="preserve"> </w:t>
      </w:r>
      <w:r w:rsidR="00982E0F">
        <w:t xml:space="preserve">between </w:t>
      </w:r>
      <w:r w:rsidR="009005A3">
        <w:t>starting</w:t>
      </w:r>
      <w:r w:rsidR="007D74C2">
        <w:t xml:space="preserve"> median</w:t>
      </w:r>
      <w:r w:rsidR="009005A3">
        <w:t xml:space="preserve"> salaries</w:t>
      </w:r>
      <w:r w:rsidR="007D74C2">
        <w:t xml:space="preserve"> and schools conference</w:t>
      </w:r>
      <w:r w:rsidR="00247480">
        <w:t>, the average growth</w:t>
      </w:r>
      <w:r w:rsidR="009005A3">
        <w:t xml:space="preserve"> </w:t>
      </w:r>
      <w:r w:rsidR="00247480">
        <w:t>of salaries based on school’s</w:t>
      </w:r>
      <w:r w:rsidR="009005A3">
        <w:t xml:space="preserve"> </w:t>
      </w:r>
      <w:r w:rsidR="00247480">
        <w:t>conference</w:t>
      </w:r>
      <w:r w:rsidR="009005A3">
        <w:t xml:space="preserve">, </w:t>
      </w:r>
      <w:r w:rsidR="00023D80">
        <w:t xml:space="preserve">and </w:t>
      </w:r>
      <w:r w:rsidR="00247480">
        <w:t xml:space="preserve">the maximum and minimum </w:t>
      </w:r>
      <w:r w:rsidR="00666B1A">
        <w:t xml:space="preserve">starting </w:t>
      </w:r>
      <w:r w:rsidR="00247480">
        <w:t xml:space="preserve">salaries </w:t>
      </w:r>
      <w:r w:rsidR="00666B1A">
        <w:t>considering school’s conference</w:t>
      </w:r>
      <w:r w:rsidR="008E4D8E">
        <w:t xml:space="preserve">. </w:t>
      </w:r>
      <w:r w:rsidR="0063055C">
        <w:t>We used summary tables, visualization methods, ANOVA</w:t>
      </w:r>
      <w:r w:rsidR="00346FB7">
        <w:t xml:space="preserve"> tests, </w:t>
      </w:r>
      <w:r w:rsidR="00824CAF">
        <w:t xml:space="preserve">and aggregate functions to make assumptions based off evidence about salaries and </w:t>
      </w:r>
      <w:r w:rsidR="00894941">
        <w:t xml:space="preserve">Power 5 conferences. </w:t>
      </w:r>
      <w:r w:rsidR="001C0556">
        <w:t>First, we reject the null hypothesis that there is not a significant difference between average median salaries across regions; therefore, we can conclude that salaries between regions do differ. Moreover, t</w:t>
      </w:r>
      <w:r w:rsidR="004107CE">
        <w:t>he Big 12 has the highest overall growth</w:t>
      </w:r>
      <w:r w:rsidR="004730D3">
        <w:t xml:space="preserve"> of salaries</w:t>
      </w:r>
      <w:r w:rsidR="00EA708D">
        <w:t>.</w:t>
      </w:r>
      <w:r w:rsidR="004107CE">
        <w:t xml:space="preserve"> </w:t>
      </w:r>
      <w:r w:rsidR="00AD0461">
        <w:t>The Pac</w:t>
      </w:r>
      <w:r w:rsidR="00BB069B">
        <w:t xml:space="preserve">-12 has the highest </w:t>
      </w:r>
      <w:r w:rsidR="00C83B6F">
        <w:t xml:space="preserve">max </w:t>
      </w:r>
      <w:r w:rsidR="00DA3D51">
        <w:t>starting salary</w:t>
      </w:r>
      <w:r w:rsidR="00C83B6F">
        <w:t xml:space="preserve">, while the minimum starting salaries are all relatively equal. </w:t>
      </w:r>
      <w:r w:rsidR="00F91430">
        <w:t>Overall,</w:t>
      </w:r>
      <w:r w:rsidR="007A0B0F">
        <w:t xml:space="preserve"> </w:t>
      </w:r>
      <w:r w:rsidR="003F7F22">
        <w:t xml:space="preserve">based off of our regression modeling, </w:t>
      </w:r>
      <w:r w:rsidR="00F91430">
        <w:t>different conferences and regions produce different outcomes on salaries, with the exception of median salaries.</w:t>
      </w:r>
      <w:r w:rsidR="007A0B0F">
        <w:t xml:space="preserve"> </w:t>
      </w:r>
    </w:p>
    <w:p w14:paraId="69831766" w14:textId="77777777" w:rsidR="00FF06EE" w:rsidRDefault="00FF06EE" w:rsidP="001C0556">
      <w:pPr>
        <w:pStyle w:val="ListParagraph"/>
      </w:pPr>
    </w:p>
    <w:p w14:paraId="6A27E4D6" w14:textId="040FB443" w:rsidR="00937111" w:rsidRDefault="007A0B0F" w:rsidP="001C0556">
      <w:pPr>
        <w:pStyle w:val="ListParagraph"/>
      </w:pPr>
      <w:r>
        <w:t xml:space="preserve">Throughout this project we encountered several limitations that are important to note. </w:t>
      </w:r>
      <w:r w:rsidR="00953205">
        <w:t xml:space="preserve">The first one being that the </w:t>
      </w:r>
      <w:r w:rsidR="000A10F7">
        <w:t xml:space="preserve">schools that belong to </w:t>
      </w:r>
      <w:r w:rsidR="00953205">
        <w:t xml:space="preserve">Power 5 conferences to do not represent all colleges </w:t>
      </w:r>
      <w:r w:rsidR="008107B9">
        <w:t xml:space="preserve">in the United States. </w:t>
      </w:r>
      <w:r w:rsidR="00FF09CF">
        <w:t xml:space="preserve">A second limitation on top of that is that </w:t>
      </w:r>
      <w:r w:rsidR="00FF09CF">
        <w:lastRenderedPageBreak/>
        <w:t xml:space="preserve">there are many more </w:t>
      </w:r>
      <w:r w:rsidR="003A4ACA">
        <w:t xml:space="preserve">schools in each region than we had listed. </w:t>
      </w:r>
      <w:r w:rsidR="00116606">
        <w:t>Finally</w:t>
      </w:r>
      <w:r w:rsidR="003A4ACA">
        <w:t xml:space="preserve">, some regions have more </w:t>
      </w:r>
      <w:r w:rsidR="008A6BE0">
        <w:t xml:space="preserve">prestigious schools versus others </w:t>
      </w:r>
      <w:r w:rsidR="009A262B">
        <w:t xml:space="preserve">which can contribute to higher salaries, or outliers in the data. </w:t>
      </w:r>
      <w:r w:rsidR="00C84A2D">
        <w:t xml:space="preserve">For </w:t>
      </w:r>
      <w:r w:rsidR="00E65E64">
        <w:t>example</w:t>
      </w:r>
      <w:r w:rsidR="00006760">
        <w:t>,</w:t>
      </w:r>
      <w:r w:rsidR="00E65E64">
        <w:t xml:space="preserve"> the California region has </w:t>
      </w:r>
      <w:r w:rsidR="00B75253">
        <w:t>UCLA, University of California at Berkley,</w:t>
      </w:r>
      <w:r w:rsidR="00550679">
        <w:t xml:space="preserve"> USC, and</w:t>
      </w:r>
      <w:r w:rsidR="00654ACB">
        <w:t xml:space="preserve"> Stanford. Future work could include all college</w:t>
      </w:r>
      <w:r w:rsidR="00637255">
        <w:t>s in the United States with</w:t>
      </w:r>
      <w:r w:rsidR="00115DBF">
        <w:t xml:space="preserve"> </w:t>
      </w:r>
      <w:r w:rsidR="008F111E">
        <w:t xml:space="preserve">adequate </w:t>
      </w:r>
      <w:r w:rsidR="00912DC7">
        <w:t xml:space="preserve">information. </w:t>
      </w:r>
    </w:p>
    <w:p w14:paraId="327CF28D" w14:textId="77777777" w:rsidR="00EA7800" w:rsidRDefault="00EA7800" w:rsidP="00937111">
      <w:pPr>
        <w:pStyle w:val="ListParagraph"/>
      </w:pPr>
    </w:p>
    <w:p w14:paraId="6B935909" w14:textId="1834C1D4" w:rsidR="000E4665" w:rsidRDefault="000E4665" w:rsidP="00937111">
      <w:pPr>
        <w:pStyle w:val="ListParagraph"/>
      </w:pPr>
    </w:p>
    <w:p w14:paraId="3AFC9C89" w14:textId="5B539556" w:rsidR="000E4665" w:rsidRPr="00937111" w:rsidRDefault="000E4665" w:rsidP="00937111">
      <w:pPr>
        <w:pStyle w:val="ListParagraph"/>
      </w:pPr>
    </w:p>
    <w:sectPr w:rsidR="000E4665" w:rsidRPr="00937111" w:rsidSect="00CA7173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C7CD" w14:textId="77777777" w:rsidR="00D4368B" w:rsidRDefault="00D4368B" w:rsidP="00247480">
      <w:r>
        <w:separator/>
      </w:r>
    </w:p>
  </w:endnote>
  <w:endnote w:type="continuationSeparator" w:id="0">
    <w:p w14:paraId="5F4CB853" w14:textId="77777777" w:rsidR="00D4368B" w:rsidRDefault="00D4368B" w:rsidP="00247480">
      <w:r>
        <w:continuationSeparator/>
      </w:r>
    </w:p>
  </w:endnote>
  <w:endnote w:type="continuationNotice" w:id="1">
    <w:p w14:paraId="73A31B10" w14:textId="77777777" w:rsidR="00D4368B" w:rsidRDefault="00D436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302923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6DF451" w14:textId="52B9C9DE" w:rsidR="003A3027" w:rsidRDefault="003A3027" w:rsidP="000170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8124CE" w14:textId="77777777" w:rsidR="00AD0461" w:rsidRDefault="00AD0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8373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37BEAC" w14:textId="19E2B831" w:rsidR="003A3027" w:rsidRDefault="003A3027" w:rsidP="000170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B2BEB2" w14:textId="62FF5658" w:rsidR="00A73FF3" w:rsidRPr="00A73FF3" w:rsidRDefault="00A73FF3" w:rsidP="00A73FF3">
    <w:pPr>
      <w:rPr>
        <w:color w:val="0563C1" w:themeColor="hyperlink"/>
        <w:sz w:val="22"/>
        <w:szCs w:val="22"/>
        <w:u w:val="single"/>
      </w:rPr>
    </w:pPr>
  </w:p>
  <w:p w14:paraId="39244991" w14:textId="569FBDE3" w:rsidR="00247480" w:rsidRDefault="00247480" w:rsidP="003A30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1BCBB" w14:textId="77777777" w:rsidR="00D4368B" w:rsidRDefault="00D4368B" w:rsidP="00247480">
      <w:r>
        <w:separator/>
      </w:r>
    </w:p>
  </w:footnote>
  <w:footnote w:type="continuationSeparator" w:id="0">
    <w:p w14:paraId="122978DB" w14:textId="77777777" w:rsidR="00D4368B" w:rsidRDefault="00D4368B" w:rsidP="00247480">
      <w:r>
        <w:continuationSeparator/>
      </w:r>
    </w:p>
  </w:footnote>
  <w:footnote w:type="continuationNotice" w:id="1">
    <w:p w14:paraId="23C4BC38" w14:textId="77777777" w:rsidR="00D4368B" w:rsidRDefault="00D436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7B35F8" w14:paraId="1C6B287A" w14:textId="77777777" w:rsidTr="487B35F8">
      <w:tc>
        <w:tcPr>
          <w:tcW w:w="3120" w:type="dxa"/>
        </w:tcPr>
        <w:p w14:paraId="373A6530" w14:textId="5708ABAF" w:rsidR="487B35F8" w:rsidRDefault="487B35F8" w:rsidP="487B35F8">
          <w:pPr>
            <w:pStyle w:val="Header"/>
            <w:ind w:left="-115"/>
          </w:pPr>
        </w:p>
      </w:tc>
      <w:tc>
        <w:tcPr>
          <w:tcW w:w="3120" w:type="dxa"/>
        </w:tcPr>
        <w:p w14:paraId="7AD8B461" w14:textId="1A20D811" w:rsidR="487B35F8" w:rsidRDefault="487B35F8" w:rsidP="487B35F8">
          <w:pPr>
            <w:pStyle w:val="Header"/>
            <w:jc w:val="center"/>
          </w:pPr>
        </w:p>
      </w:tc>
      <w:tc>
        <w:tcPr>
          <w:tcW w:w="3120" w:type="dxa"/>
        </w:tcPr>
        <w:p w14:paraId="0D2DB3A3" w14:textId="0A38DAAC" w:rsidR="487B35F8" w:rsidRDefault="487B35F8" w:rsidP="487B35F8">
          <w:pPr>
            <w:pStyle w:val="Header"/>
            <w:ind w:right="-115"/>
            <w:jc w:val="right"/>
          </w:pPr>
        </w:p>
      </w:tc>
    </w:tr>
  </w:tbl>
  <w:p w14:paraId="1A9E7E82" w14:textId="492119B7" w:rsidR="00247480" w:rsidRDefault="00247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A3D71"/>
    <w:multiLevelType w:val="multilevel"/>
    <w:tmpl w:val="575E1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7DE51235"/>
    <w:multiLevelType w:val="hybridMultilevel"/>
    <w:tmpl w:val="D38C5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77707">
    <w:abstractNumId w:val="0"/>
  </w:num>
  <w:num w:numId="2" w16cid:durableId="47372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7B"/>
    <w:rsid w:val="00001DDF"/>
    <w:rsid w:val="00004777"/>
    <w:rsid w:val="000050FC"/>
    <w:rsid w:val="00005A34"/>
    <w:rsid w:val="00006760"/>
    <w:rsid w:val="00010592"/>
    <w:rsid w:val="000112A0"/>
    <w:rsid w:val="00011B94"/>
    <w:rsid w:val="000170A6"/>
    <w:rsid w:val="000170BB"/>
    <w:rsid w:val="00017E9B"/>
    <w:rsid w:val="00023D80"/>
    <w:rsid w:val="00024101"/>
    <w:rsid w:val="00030F5C"/>
    <w:rsid w:val="000318F3"/>
    <w:rsid w:val="00033D9A"/>
    <w:rsid w:val="00034EA1"/>
    <w:rsid w:val="000354F5"/>
    <w:rsid w:val="000356B2"/>
    <w:rsid w:val="00035DC6"/>
    <w:rsid w:val="00042A64"/>
    <w:rsid w:val="00043666"/>
    <w:rsid w:val="00044D2B"/>
    <w:rsid w:val="00046C43"/>
    <w:rsid w:val="0005002B"/>
    <w:rsid w:val="00051BF7"/>
    <w:rsid w:val="00055A24"/>
    <w:rsid w:val="000619FD"/>
    <w:rsid w:val="000633FA"/>
    <w:rsid w:val="000635C2"/>
    <w:rsid w:val="000638AF"/>
    <w:rsid w:val="0007068A"/>
    <w:rsid w:val="0007327E"/>
    <w:rsid w:val="00074149"/>
    <w:rsid w:val="00074600"/>
    <w:rsid w:val="000747A8"/>
    <w:rsid w:val="000826B9"/>
    <w:rsid w:val="00084F07"/>
    <w:rsid w:val="0009077D"/>
    <w:rsid w:val="00094505"/>
    <w:rsid w:val="00095200"/>
    <w:rsid w:val="00097B13"/>
    <w:rsid w:val="000A01B8"/>
    <w:rsid w:val="000A0EE3"/>
    <w:rsid w:val="000A10F7"/>
    <w:rsid w:val="000A51EA"/>
    <w:rsid w:val="000A7F4C"/>
    <w:rsid w:val="000B1524"/>
    <w:rsid w:val="000B187B"/>
    <w:rsid w:val="000B1E06"/>
    <w:rsid w:val="000B4118"/>
    <w:rsid w:val="000B729C"/>
    <w:rsid w:val="000C33A3"/>
    <w:rsid w:val="000D3DC8"/>
    <w:rsid w:val="000D53E4"/>
    <w:rsid w:val="000D65CF"/>
    <w:rsid w:val="000D6FC2"/>
    <w:rsid w:val="000D73D2"/>
    <w:rsid w:val="000D7446"/>
    <w:rsid w:val="000E19AA"/>
    <w:rsid w:val="000E2493"/>
    <w:rsid w:val="000E4665"/>
    <w:rsid w:val="000F00E4"/>
    <w:rsid w:val="000F360B"/>
    <w:rsid w:val="000F46A8"/>
    <w:rsid w:val="00102D38"/>
    <w:rsid w:val="001065CF"/>
    <w:rsid w:val="00106DD9"/>
    <w:rsid w:val="00106EEC"/>
    <w:rsid w:val="00106F38"/>
    <w:rsid w:val="00115DBF"/>
    <w:rsid w:val="00116606"/>
    <w:rsid w:val="00122091"/>
    <w:rsid w:val="0012271F"/>
    <w:rsid w:val="0012284F"/>
    <w:rsid w:val="00123BE3"/>
    <w:rsid w:val="00124AF1"/>
    <w:rsid w:val="00126EB5"/>
    <w:rsid w:val="001320E6"/>
    <w:rsid w:val="0013416A"/>
    <w:rsid w:val="001344C9"/>
    <w:rsid w:val="00134C60"/>
    <w:rsid w:val="00140A65"/>
    <w:rsid w:val="00141365"/>
    <w:rsid w:val="001432A7"/>
    <w:rsid w:val="00151069"/>
    <w:rsid w:val="00151C4F"/>
    <w:rsid w:val="00153212"/>
    <w:rsid w:val="0015698D"/>
    <w:rsid w:val="00160DEC"/>
    <w:rsid w:val="00164397"/>
    <w:rsid w:val="00164680"/>
    <w:rsid w:val="00170285"/>
    <w:rsid w:val="001708D2"/>
    <w:rsid w:val="00174515"/>
    <w:rsid w:val="00175585"/>
    <w:rsid w:val="00175BC6"/>
    <w:rsid w:val="00182AA9"/>
    <w:rsid w:val="00190286"/>
    <w:rsid w:val="00191CF9"/>
    <w:rsid w:val="00194273"/>
    <w:rsid w:val="001A0A7F"/>
    <w:rsid w:val="001A0B4B"/>
    <w:rsid w:val="001A147D"/>
    <w:rsid w:val="001A1A95"/>
    <w:rsid w:val="001A20E3"/>
    <w:rsid w:val="001A4364"/>
    <w:rsid w:val="001A5736"/>
    <w:rsid w:val="001A592E"/>
    <w:rsid w:val="001A7B05"/>
    <w:rsid w:val="001A7EB5"/>
    <w:rsid w:val="001B09F7"/>
    <w:rsid w:val="001B0D75"/>
    <w:rsid w:val="001B10A6"/>
    <w:rsid w:val="001B2470"/>
    <w:rsid w:val="001B3917"/>
    <w:rsid w:val="001B5EBD"/>
    <w:rsid w:val="001B66C3"/>
    <w:rsid w:val="001B6B77"/>
    <w:rsid w:val="001B763F"/>
    <w:rsid w:val="001C0230"/>
    <w:rsid w:val="001C0556"/>
    <w:rsid w:val="001C0EF9"/>
    <w:rsid w:val="001C576C"/>
    <w:rsid w:val="001D17E6"/>
    <w:rsid w:val="001D48B5"/>
    <w:rsid w:val="001D504B"/>
    <w:rsid w:val="001D5538"/>
    <w:rsid w:val="001E2AB6"/>
    <w:rsid w:val="001E4BD3"/>
    <w:rsid w:val="001E6738"/>
    <w:rsid w:val="001E6D05"/>
    <w:rsid w:val="001F6C11"/>
    <w:rsid w:val="001F7699"/>
    <w:rsid w:val="001F7F99"/>
    <w:rsid w:val="00200C7A"/>
    <w:rsid w:val="00211A74"/>
    <w:rsid w:val="00212B6F"/>
    <w:rsid w:val="00213DE4"/>
    <w:rsid w:val="00214D64"/>
    <w:rsid w:val="00225C48"/>
    <w:rsid w:val="00225DD6"/>
    <w:rsid w:val="00226D16"/>
    <w:rsid w:val="00227F12"/>
    <w:rsid w:val="00233D4A"/>
    <w:rsid w:val="00241A24"/>
    <w:rsid w:val="00242221"/>
    <w:rsid w:val="00242C60"/>
    <w:rsid w:val="0024385F"/>
    <w:rsid w:val="002440AD"/>
    <w:rsid w:val="00245E37"/>
    <w:rsid w:val="00247302"/>
    <w:rsid w:val="00247480"/>
    <w:rsid w:val="0025024E"/>
    <w:rsid w:val="00251C3D"/>
    <w:rsid w:val="00252A9D"/>
    <w:rsid w:val="00252E94"/>
    <w:rsid w:val="00257FC5"/>
    <w:rsid w:val="00260E0C"/>
    <w:rsid w:val="00261062"/>
    <w:rsid w:val="002650DC"/>
    <w:rsid w:val="00267532"/>
    <w:rsid w:val="0027100E"/>
    <w:rsid w:val="0027328F"/>
    <w:rsid w:val="00273F63"/>
    <w:rsid w:val="00275515"/>
    <w:rsid w:val="002770F4"/>
    <w:rsid w:val="002771C2"/>
    <w:rsid w:val="00282FE9"/>
    <w:rsid w:val="00284167"/>
    <w:rsid w:val="00285952"/>
    <w:rsid w:val="0028734D"/>
    <w:rsid w:val="00287DD2"/>
    <w:rsid w:val="00290C68"/>
    <w:rsid w:val="00293C31"/>
    <w:rsid w:val="002956D5"/>
    <w:rsid w:val="0029615D"/>
    <w:rsid w:val="002A0B4B"/>
    <w:rsid w:val="002A2A7A"/>
    <w:rsid w:val="002A3032"/>
    <w:rsid w:val="002A48D2"/>
    <w:rsid w:val="002A79D4"/>
    <w:rsid w:val="002B401A"/>
    <w:rsid w:val="002B59DA"/>
    <w:rsid w:val="002C0E28"/>
    <w:rsid w:val="002C4EA1"/>
    <w:rsid w:val="002C56F6"/>
    <w:rsid w:val="002C6C08"/>
    <w:rsid w:val="002D16AB"/>
    <w:rsid w:val="002D38E7"/>
    <w:rsid w:val="002E259E"/>
    <w:rsid w:val="002E5A05"/>
    <w:rsid w:val="002E5A08"/>
    <w:rsid w:val="002E7174"/>
    <w:rsid w:val="002F3B26"/>
    <w:rsid w:val="002F6DC3"/>
    <w:rsid w:val="002F707A"/>
    <w:rsid w:val="00302503"/>
    <w:rsid w:val="00304A48"/>
    <w:rsid w:val="00305706"/>
    <w:rsid w:val="0030665C"/>
    <w:rsid w:val="003133DB"/>
    <w:rsid w:val="00317A89"/>
    <w:rsid w:val="003206C8"/>
    <w:rsid w:val="00320D96"/>
    <w:rsid w:val="00321E72"/>
    <w:rsid w:val="00325E21"/>
    <w:rsid w:val="0032750E"/>
    <w:rsid w:val="00333DB2"/>
    <w:rsid w:val="003359D3"/>
    <w:rsid w:val="003407DE"/>
    <w:rsid w:val="00346168"/>
    <w:rsid w:val="00346977"/>
    <w:rsid w:val="00346FB7"/>
    <w:rsid w:val="0034720E"/>
    <w:rsid w:val="00347508"/>
    <w:rsid w:val="0035014F"/>
    <w:rsid w:val="00353989"/>
    <w:rsid w:val="00355A96"/>
    <w:rsid w:val="00355DD4"/>
    <w:rsid w:val="00355E51"/>
    <w:rsid w:val="0035796E"/>
    <w:rsid w:val="00360B99"/>
    <w:rsid w:val="003627BA"/>
    <w:rsid w:val="00363A30"/>
    <w:rsid w:val="00365FEF"/>
    <w:rsid w:val="00366736"/>
    <w:rsid w:val="003715C0"/>
    <w:rsid w:val="00372C57"/>
    <w:rsid w:val="0037319B"/>
    <w:rsid w:val="003739BD"/>
    <w:rsid w:val="0037461F"/>
    <w:rsid w:val="00374C38"/>
    <w:rsid w:val="00375C7C"/>
    <w:rsid w:val="003771F5"/>
    <w:rsid w:val="00377CB9"/>
    <w:rsid w:val="00380F1E"/>
    <w:rsid w:val="00385C2D"/>
    <w:rsid w:val="003861BB"/>
    <w:rsid w:val="0038691C"/>
    <w:rsid w:val="00386961"/>
    <w:rsid w:val="0039172F"/>
    <w:rsid w:val="003921CA"/>
    <w:rsid w:val="00393771"/>
    <w:rsid w:val="00395265"/>
    <w:rsid w:val="0039550C"/>
    <w:rsid w:val="003A2ACF"/>
    <w:rsid w:val="003A3027"/>
    <w:rsid w:val="003A4ACA"/>
    <w:rsid w:val="003A4C36"/>
    <w:rsid w:val="003A53F1"/>
    <w:rsid w:val="003A744C"/>
    <w:rsid w:val="003B1163"/>
    <w:rsid w:val="003B2710"/>
    <w:rsid w:val="003B3638"/>
    <w:rsid w:val="003B51DE"/>
    <w:rsid w:val="003B79D8"/>
    <w:rsid w:val="003C187C"/>
    <w:rsid w:val="003C2787"/>
    <w:rsid w:val="003C2F43"/>
    <w:rsid w:val="003D3E6F"/>
    <w:rsid w:val="003D7ABB"/>
    <w:rsid w:val="003E6BE1"/>
    <w:rsid w:val="003E7683"/>
    <w:rsid w:val="003F2488"/>
    <w:rsid w:val="003F2B6A"/>
    <w:rsid w:val="003F7F22"/>
    <w:rsid w:val="00400644"/>
    <w:rsid w:val="0040164D"/>
    <w:rsid w:val="0040176B"/>
    <w:rsid w:val="00403C7C"/>
    <w:rsid w:val="004051DF"/>
    <w:rsid w:val="004107CE"/>
    <w:rsid w:val="00410F8C"/>
    <w:rsid w:val="00415583"/>
    <w:rsid w:val="00422CF5"/>
    <w:rsid w:val="004251FA"/>
    <w:rsid w:val="00426ED3"/>
    <w:rsid w:val="00432355"/>
    <w:rsid w:val="0043251C"/>
    <w:rsid w:val="00433674"/>
    <w:rsid w:val="00433C16"/>
    <w:rsid w:val="004350E4"/>
    <w:rsid w:val="004356B5"/>
    <w:rsid w:val="004378C1"/>
    <w:rsid w:val="00437D26"/>
    <w:rsid w:val="00443999"/>
    <w:rsid w:val="004473D9"/>
    <w:rsid w:val="00450E72"/>
    <w:rsid w:val="00456498"/>
    <w:rsid w:val="004572E4"/>
    <w:rsid w:val="00464C2C"/>
    <w:rsid w:val="00464D03"/>
    <w:rsid w:val="004701FC"/>
    <w:rsid w:val="004730D3"/>
    <w:rsid w:val="0047325A"/>
    <w:rsid w:val="004736BA"/>
    <w:rsid w:val="004821DA"/>
    <w:rsid w:val="00484CC9"/>
    <w:rsid w:val="00485858"/>
    <w:rsid w:val="004877D5"/>
    <w:rsid w:val="0049023E"/>
    <w:rsid w:val="004921E7"/>
    <w:rsid w:val="004943D3"/>
    <w:rsid w:val="00494752"/>
    <w:rsid w:val="00497D29"/>
    <w:rsid w:val="004A1BE5"/>
    <w:rsid w:val="004A2CF2"/>
    <w:rsid w:val="004A38AB"/>
    <w:rsid w:val="004A3B01"/>
    <w:rsid w:val="004A5AEC"/>
    <w:rsid w:val="004A72EA"/>
    <w:rsid w:val="004A77BC"/>
    <w:rsid w:val="004B267E"/>
    <w:rsid w:val="004B7723"/>
    <w:rsid w:val="004B7E03"/>
    <w:rsid w:val="004C0019"/>
    <w:rsid w:val="004C06BF"/>
    <w:rsid w:val="004C1234"/>
    <w:rsid w:val="004C1AFD"/>
    <w:rsid w:val="004C6DB1"/>
    <w:rsid w:val="004C78B5"/>
    <w:rsid w:val="004D1A73"/>
    <w:rsid w:val="004D20C4"/>
    <w:rsid w:val="004E02FE"/>
    <w:rsid w:val="004E0C24"/>
    <w:rsid w:val="004E2FC9"/>
    <w:rsid w:val="004E5223"/>
    <w:rsid w:val="004F2616"/>
    <w:rsid w:val="004F262D"/>
    <w:rsid w:val="004F3141"/>
    <w:rsid w:val="004F6172"/>
    <w:rsid w:val="0050035A"/>
    <w:rsid w:val="00500E5E"/>
    <w:rsid w:val="00504F05"/>
    <w:rsid w:val="00505F77"/>
    <w:rsid w:val="005105D8"/>
    <w:rsid w:val="0051569F"/>
    <w:rsid w:val="00517043"/>
    <w:rsid w:val="00521947"/>
    <w:rsid w:val="00521D2D"/>
    <w:rsid w:val="005240BB"/>
    <w:rsid w:val="00526508"/>
    <w:rsid w:val="0052676F"/>
    <w:rsid w:val="00527970"/>
    <w:rsid w:val="0053200A"/>
    <w:rsid w:val="0053357A"/>
    <w:rsid w:val="005335F5"/>
    <w:rsid w:val="00534CEB"/>
    <w:rsid w:val="00536D0F"/>
    <w:rsid w:val="0053701D"/>
    <w:rsid w:val="00537156"/>
    <w:rsid w:val="00545917"/>
    <w:rsid w:val="00545F17"/>
    <w:rsid w:val="00546DA2"/>
    <w:rsid w:val="00550679"/>
    <w:rsid w:val="005545CE"/>
    <w:rsid w:val="00556708"/>
    <w:rsid w:val="005601ED"/>
    <w:rsid w:val="00560ADA"/>
    <w:rsid w:val="00565AFF"/>
    <w:rsid w:val="00574517"/>
    <w:rsid w:val="0057493B"/>
    <w:rsid w:val="0058005A"/>
    <w:rsid w:val="005829F5"/>
    <w:rsid w:val="00582E54"/>
    <w:rsid w:val="00584FC8"/>
    <w:rsid w:val="0058539B"/>
    <w:rsid w:val="005858D7"/>
    <w:rsid w:val="005865E7"/>
    <w:rsid w:val="00591C6A"/>
    <w:rsid w:val="00592E7B"/>
    <w:rsid w:val="00596081"/>
    <w:rsid w:val="00596410"/>
    <w:rsid w:val="00597527"/>
    <w:rsid w:val="005975F2"/>
    <w:rsid w:val="005A0E05"/>
    <w:rsid w:val="005A2D19"/>
    <w:rsid w:val="005A3C26"/>
    <w:rsid w:val="005A5A17"/>
    <w:rsid w:val="005B0555"/>
    <w:rsid w:val="005B17B8"/>
    <w:rsid w:val="005B4D99"/>
    <w:rsid w:val="005B6C8C"/>
    <w:rsid w:val="005B6D27"/>
    <w:rsid w:val="005D0D88"/>
    <w:rsid w:val="005D0FF8"/>
    <w:rsid w:val="005D757D"/>
    <w:rsid w:val="005E66ED"/>
    <w:rsid w:val="005F2178"/>
    <w:rsid w:val="005F3697"/>
    <w:rsid w:val="005F591B"/>
    <w:rsid w:val="005F7166"/>
    <w:rsid w:val="005F7AAA"/>
    <w:rsid w:val="005F7CB6"/>
    <w:rsid w:val="006036FA"/>
    <w:rsid w:val="00604A8E"/>
    <w:rsid w:val="00606287"/>
    <w:rsid w:val="006069DF"/>
    <w:rsid w:val="00610E66"/>
    <w:rsid w:val="0061168E"/>
    <w:rsid w:val="00614A26"/>
    <w:rsid w:val="0061592F"/>
    <w:rsid w:val="00622825"/>
    <w:rsid w:val="006268E9"/>
    <w:rsid w:val="00626946"/>
    <w:rsid w:val="0062715B"/>
    <w:rsid w:val="006301A6"/>
    <w:rsid w:val="0063055C"/>
    <w:rsid w:val="0063424B"/>
    <w:rsid w:val="00634CD0"/>
    <w:rsid w:val="00636CE5"/>
    <w:rsid w:val="00637255"/>
    <w:rsid w:val="006429A6"/>
    <w:rsid w:val="00642A3B"/>
    <w:rsid w:val="00642E06"/>
    <w:rsid w:val="0064618A"/>
    <w:rsid w:val="00646D17"/>
    <w:rsid w:val="00653ADD"/>
    <w:rsid w:val="00654ACB"/>
    <w:rsid w:val="00657599"/>
    <w:rsid w:val="00657DBF"/>
    <w:rsid w:val="00664571"/>
    <w:rsid w:val="006655D7"/>
    <w:rsid w:val="00666B1A"/>
    <w:rsid w:val="0067024B"/>
    <w:rsid w:val="006704AB"/>
    <w:rsid w:val="0067407C"/>
    <w:rsid w:val="006763B4"/>
    <w:rsid w:val="00680114"/>
    <w:rsid w:val="006823A5"/>
    <w:rsid w:val="006831C3"/>
    <w:rsid w:val="00684DBC"/>
    <w:rsid w:val="006858F5"/>
    <w:rsid w:val="00685C6C"/>
    <w:rsid w:val="00693BC1"/>
    <w:rsid w:val="00696026"/>
    <w:rsid w:val="006965FB"/>
    <w:rsid w:val="006971B0"/>
    <w:rsid w:val="006A009D"/>
    <w:rsid w:val="006A5875"/>
    <w:rsid w:val="006A5C76"/>
    <w:rsid w:val="006A6048"/>
    <w:rsid w:val="006A61EA"/>
    <w:rsid w:val="006A6D1B"/>
    <w:rsid w:val="006A6ED2"/>
    <w:rsid w:val="006B2ED8"/>
    <w:rsid w:val="006B2FBA"/>
    <w:rsid w:val="006B3490"/>
    <w:rsid w:val="006B7D27"/>
    <w:rsid w:val="006B7EF8"/>
    <w:rsid w:val="006C308A"/>
    <w:rsid w:val="006C3F15"/>
    <w:rsid w:val="006C4B87"/>
    <w:rsid w:val="006C785D"/>
    <w:rsid w:val="006D129F"/>
    <w:rsid w:val="006D204D"/>
    <w:rsid w:val="006D5865"/>
    <w:rsid w:val="006D5FA6"/>
    <w:rsid w:val="006D7A7C"/>
    <w:rsid w:val="006E0F3B"/>
    <w:rsid w:val="006F021B"/>
    <w:rsid w:val="006F0AEA"/>
    <w:rsid w:val="006F3197"/>
    <w:rsid w:val="006F3474"/>
    <w:rsid w:val="006F5D44"/>
    <w:rsid w:val="006F62D1"/>
    <w:rsid w:val="006F67E9"/>
    <w:rsid w:val="00712A9E"/>
    <w:rsid w:val="00715296"/>
    <w:rsid w:val="00715B86"/>
    <w:rsid w:val="007213C0"/>
    <w:rsid w:val="00724118"/>
    <w:rsid w:val="00726D6A"/>
    <w:rsid w:val="00731179"/>
    <w:rsid w:val="0073682D"/>
    <w:rsid w:val="00736A65"/>
    <w:rsid w:val="00737909"/>
    <w:rsid w:val="007412CB"/>
    <w:rsid w:val="007424B9"/>
    <w:rsid w:val="00743FA2"/>
    <w:rsid w:val="00744BDA"/>
    <w:rsid w:val="00746B6F"/>
    <w:rsid w:val="007513BF"/>
    <w:rsid w:val="00751F8F"/>
    <w:rsid w:val="00752108"/>
    <w:rsid w:val="0075232B"/>
    <w:rsid w:val="00754BC9"/>
    <w:rsid w:val="00761139"/>
    <w:rsid w:val="00761F00"/>
    <w:rsid w:val="0076595B"/>
    <w:rsid w:val="0076636A"/>
    <w:rsid w:val="00771EBB"/>
    <w:rsid w:val="00772DBE"/>
    <w:rsid w:val="007746F6"/>
    <w:rsid w:val="00777075"/>
    <w:rsid w:val="00785338"/>
    <w:rsid w:val="00786C45"/>
    <w:rsid w:val="0079028B"/>
    <w:rsid w:val="007903F3"/>
    <w:rsid w:val="0079146D"/>
    <w:rsid w:val="00793188"/>
    <w:rsid w:val="00794906"/>
    <w:rsid w:val="007965A7"/>
    <w:rsid w:val="007968C5"/>
    <w:rsid w:val="007A0B0F"/>
    <w:rsid w:val="007A208A"/>
    <w:rsid w:val="007A2D99"/>
    <w:rsid w:val="007A4910"/>
    <w:rsid w:val="007A53A4"/>
    <w:rsid w:val="007A65CE"/>
    <w:rsid w:val="007A7A4E"/>
    <w:rsid w:val="007B1AF0"/>
    <w:rsid w:val="007B2155"/>
    <w:rsid w:val="007B2BF7"/>
    <w:rsid w:val="007B4103"/>
    <w:rsid w:val="007B4278"/>
    <w:rsid w:val="007B7EE6"/>
    <w:rsid w:val="007C531B"/>
    <w:rsid w:val="007C7080"/>
    <w:rsid w:val="007C7A8C"/>
    <w:rsid w:val="007CB749"/>
    <w:rsid w:val="007D74C2"/>
    <w:rsid w:val="007E18C0"/>
    <w:rsid w:val="007E29ED"/>
    <w:rsid w:val="007E579B"/>
    <w:rsid w:val="007E5E3C"/>
    <w:rsid w:val="007E72FC"/>
    <w:rsid w:val="007F2B3C"/>
    <w:rsid w:val="007F5368"/>
    <w:rsid w:val="00801F3E"/>
    <w:rsid w:val="00803A24"/>
    <w:rsid w:val="008074E2"/>
    <w:rsid w:val="0081057B"/>
    <w:rsid w:val="008107B9"/>
    <w:rsid w:val="00810908"/>
    <w:rsid w:val="00814A76"/>
    <w:rsid w:val="00815397"/>
    <w:rsid w:val="00815C08"/>
    <w:rsid w:val="00816CED"/>
    <w:rsid w:val="00821503"/>
    <w:rsid w:val="0082457D"/>
    <w:rsid w:val="00824CAF"/>
    <w:rsid w:val="008253EF"/>
    <w:rsid w:val="00833888"/>
    <w:rsid w:val="00834304"/>
    <w:rsid w:val="00841015"/>
    <w:rsid w:val="0084290B"/>
    <w:rsid w:val="00843BFB"/>
    <w:rsid w:val="00844B31"/>
    <w:rsid w:val="008453E3"/>
    <w:rsid w:val="00847321"/>
    <w:rsid w:val="00852446"/>
    <w:rsid w:val="00860689"/>
    <w:rsid w:val="00862594"/>
    <w:rsid w:val="00863FF0"/>
    <w:rsid w:val="00866367"/>
    <w:rsid w:val="008676EC"/>
    <w:rsid w:val="008708C8"/>
    <w:rsid w:val="008717BA"/>
    <w:rsid w:val="00871B56"/>
    <w:rsid w:val="00872990"/>
    <w:rsid w:val="00872D9D"/>
    <w:rsid w:val="0087403D"/>
    <w:rsid w:val="00875F57"/>
    <w:rsid w:val="00877D82"/>
    <w:rsid w:val="0088013C"/>
    <w:rsid w:val="00886255"/>
    <w:rsid w:val="00886563"/>
    <w:rsid w:val="008869EE"/>
    <w:rsid w:val="00891141"/>
    <w:rsid w:val="0089256A"/>
    <w:rsid w:val="00894941"/>
    <w:rsid w:val="00895B5B"/>
    <w:rsid w:val="008A52B0"/>
    <w:rsid w:val="008A6BE0"/>
    <w:rsid w:val="008B12B4"/>
    <w:rsid w:val="008B3DC1"/>
    <w:rsid w:val="008B5782"/>
    <w:rsid w:val="008B5AE6"/>
    <w:rsid w:val="008B73F0"/>
    <w:rsid w:val="008C1044"/>
    <w:rsid w:val="008C424B"/>
    <w:rsid w:val="008C441E"/>
    <w:rsid w:val="008C56E0"/>
    <w:rsid w:val="008C6997"/>
    <w:rsid w:val="008C6B35"/>
    <w:rsid w:val="008D1C0D"/>
    <w:rsid w:val="008D1C72"/>
    <w:rsid w:val="008D2C27"/>
    <w:rsid w:val="008D5741"/>
    <w:rsid w:val="008D67D7"/>
    <w:rsid w:val="008E19FB"/>
    <w:rsid w:val="008E4D8E"/>
    <w:rsid w:val="008E718C"/>
    <w:rsid w:val="008F111E"/>
    <w:rsid w:val="008F37AD"/>
    <w:rsid w:val="008F608A"/>
    <w:rsid w:val="008F6245"/>
    <w:rsid w:val="009005A3"/>
    <w:rsid w:val="009010E7"/>
    <w:rsid w:val="00903361"/>
    <w:rsid w:val="00910A23"/>
    <w:rsid w:val="00910D22"/>
    <w:rsid w:val="00912DC7"/>
    <w:rsid w:val="00917544"/>
    <w:rsid w:val="00917B02"/>
    <w:rsid w:val="009209EF"/>
    <w:rsid w:val="00922112"/>
    <w:rsid w:val="00925410"/>
    <w:rsid w:val="00927BBC"/>
    <w:rsid w:val="00930B88"/>
    <w:rsid w:val="0093196E"/>
    <w:rsid w:val="00932D7A"/>
    <w:rsid w:val="00935C3C"/>
    <w:rsid w:val="00935E91"/>
    <w:rsid w:val="00937111"/>
    <w:rsid w:val="00937B0E"/>
    <w:rsid w:val="0093A0F6"/>
    <w:rsid w:val="00943DBB"/>
    <w:rsid w:val="0094743B"/>
    <w:rsid w:val="009477E8"/>
    <w:rsid w:val="0094CC82"/>
    <w:rsid w:val="00953205"/>
    <w:rsid w:val="009551DC"/>
    <w:rsid w:val="0095569E"/>
    <w:rsid w:val="009612DE"/>
    <w:rsid w:val="009620AB"/>
    <w:rsid w:val="00962C45"/>
    <w:rsid w:val="00963CB3"/>
    <w:rsid w:val="009646E2"/>
    <w:rsid w:val="00965737"/>
    <w:rsid w:val="00967504"/>
    <w:rsid w:val="00972DE5"/>
    <w:rsid w:val="00973ADA"/>
    <w:rsid w:val="00981B12"/>
    <w:rsid w:val="00982E0F"/>
    <w:rsid w:val="0098353D"/>
    <w:rsid w:val="00983EF0"/>
    <w:rsid w:val="00986838"/>
    <w:rsid w:val="009878BF"/>
    <w:rsid w:val="00992EEA"/>
    <w:rsid w:val="009A262B"/>
    <w:rsid w:val="009A78A8"/>
    <w:rsid w:val="009B0D7B"/>
    <w:rsid w:val="009B29DD"/>
    <w:rsid w:val="009B2FE1"/>
    <w:rsid w:val="009B3D82"/>
    <w:rsid w:val="009B54A5"/>
    <w:rsid w:val="009B5A96"/>
    <w:rsid w:val="009B654F"/>
    <w:rsid w:val="009C5035"/>
    <w:rsid w:val="009C700B"/>
    <w:rsid w:val="009C73C3"/>
    <w:rsid w:val="009C7607"/>
    <w:rsid w:val="009D030F"/>
    <w:rsid w:val="009D2122"/>
    <w:rsid w:val="009D39F7"/>
    <w:rsid w:val="009D4213"/>
    <w:rsid w:val="009D6BD5"/>
    <w:rsid w:val="009E3082"/>
    <w:rsid w:val="009E3853"/>
    <w:rsid w:val="009E41A9"/>
    <w:rsid w:val="009E66E9"/>
    <w:rsid w:val="009E7D4D"/>
    <w:rsid w:val="009F06B9"/>
    <w:rsid w:val="009F29FA"/>
    <w:rsid w:val="00A02DD4"/>
    <w:rsid w:val="00A10858"/>
    <w:rsid w:val="00A13053"/>
    <w:rsid w:val="00A130AD"/>
    <w:rsid w:val="00A175DD"/>
    <w:rsid w:val="00A20153"/>
    <w:rsid w:val="00A2476A"/>
    <w:rsid w:val="00A30A8B"/>
    <w:rsid w:val="00A30B00"/>
    <w:rsid w:val="00A32B09"/>
    <w:rsid w:val="00A352A1"/>
    <w:rsid w:val="00A3657E"/>
    <w:rsid w:val="00A37FF0"/>
    <w:rsid w:val="00A45A1A"/>
    <w:rsid w:val="00A47F52"/>
    <w:rsid w:val="00A50191"/>
    <w:rsid w:val="00A54069"/>
    <w:rsid w:val="00A54806"/>
    <w:rsid w:val="00A54A5D"/>
    <w:rsid w:val="00A54DDB"/>
    <w:rsid w:val="00A55E76"/>
    <w:rsid w:val="00A60F16"/>
    <w:rsid w:val="00A64C3B"/>
    <w:rsid w:val="00A654CE"/>
    <w:rsid w:val="00A66271"/>
    <w:rsid w:val="00A70DE7"/>
    <w:rsid w:val="00A7371F"/>
    <w:rsid w:val="00A73FF3"/>
    <w:rsid w:val="00A757E4"/>
    <w:rsid w:val="00A829C8"/>
    <w:rsid w:val="00A8407C"/>
    <w:rsid w:val="00A84994"/>
    <w:rsid w:val="00A9371F"/>
    <w:rsid w:val="00A93B8C"/>
    <w:rsid w:val="00A93E73"/>
    <w:rsid w:val="00A953A5"/>
    <w:rsid w:val="00A95A54"/>
    <w:rsid w:val="00AA1781"/>
    <w:rsid w:val="00AA306C"/>
    <w:rsid w:val="00AA3E73"/>
    <w:rsid w:val="00AA4D81"/>
    <w:rsid w:val="00AA6FFC"/>
    <w:rsid w:val="00AB0217"/>
    <w:rsid w:val="00AB0DB9"/>
    <w:rsid w:val="00AB3EB3"/>
    <w:rsid w:val="00AB56FB"/>
    <w:rsid w:val="00AB6F0F"/>
    <w:rsid w:val="00AC05F3"/>
    <w:rsid w:val="00AC3600"/>
    <w:rsid w:val="00AC5759"/>
    <w:rsid w:val="00AC7E4B"/>
    <w:rsid w:val="00AD0348"/>
    <w:rsid w:val="00AD0461"/>
    <w:rsid w:val="00AD0CF9"/>
    <w:rsid w:val="00AD1719"/>
    <w:rsid w:val="00AD1EC9"/>
    <w:rsid w:val="00AD205E"/>
    <w:rsid w:val="00AD2698"/>
    <w:rsid w:val="00AD2B45"/>
    <w:rsid w:val="00AD7CBC"/>
    <w:rsid w:val="00AE0E5A"/>
    <w:rsid w:val="00AE3B35"/>
    <w:rsid w:val="00AE5827"/>
    <w:rsid w:val="00AE6F8B"/>
    <w:rsid w:val="00AE7245"/>
    <w:rsid w:val="00AF11D6"/>
    <w:rsid w:val="00AF3858"/>
    <w:rsid w:val="00AF5ABB"/>
    <w:rsid w:val="00AF6E37"/>
    <w:rsid w:val="00B01AA2"/>
    <w:rsid w:val="00B02304"/>
    <w:rsid w:val="00B02750"/>
    <w:rsid w:val="00B0338F"/>
    <w:rsid w:val="00B038AD"/>
    <w:rsid w:val="00B10D7D"/>
    <w:rsid w:val="00B1412A"/>
    <w:rsid w:val="00B15152"/>
    <w:rsid w:val="00B20F33"/>
    <w:rsid w:val="00B212C8"/>
    <w:rsid w:val="00B21357"/>
    <w:rsid w:val="00B2135F"/>
    <w:rsid w:val="00B21657"/>
    <w:rsid w:val="00B228A7"/>
    <w:rsid w:val="00B23B40"/>
    <w:rsid w:val="00B23EDC"/>
    <w:rsid w:val="00B242C0"/>
    <w:rsid w:val="00B25986"/>
    <w:rsid w:val="00B26EE3"/>
    <w:rsid w:val="00B33392"/>
    <w:rsid w:val="00B34388"/>
    <w:rsid w:val="00B346AF"/>
    <w:rsid w:val="00B409CF"/>
    <w:rsid w:val="00B4327E"/>
    <w:rsid w:val="00B450CD"/>
    <w:rsid w:val="00B4521F"/>
    <w:rsid w:val="00B46BA3"/>
    <w:rsid w:val="00B46E85"/>
    <w:rsid w:val="00B5202C"/>
    <w:rsid w:val="00B539CB"/>
    <w:rsid w:val="00B65A3F"/>
    <w:rsid w:val="00B66990"/>
    <w:rsid w:val="00B6741B"/>
    <w:rsid w:val="00B67FE0"/>
    <w:rsid w:val="00B70BE0"/>
    <w:rsid w:val="00B75253"/>
    <w:rsid w:val="00B77739"/>
    <w:rsid w:val="00B81562"/>
    <w:rsid w:val="00B83084"/>
    <w:rsid w:val="00B834F3"/>
    <w:rsid w:val="00B8438A"/>
    <w:rsid w:val="00B84AE7"/>
    <w:rsid w:val="00B91094"/>
    <w:rsid w:val="00B918C4"/>
    <w:rsid w:val="00B945B7"/>
    <w:rsid w:val="00B97C9D"/>
    <w:rsid w:val="00BA0376"/>
    <w:rsid w:val="00BA4476"/>
    <w:rsid w:val="00BA6D8C"/>
    <w:rsid w:val="00BB069B"/>
    <w:rsid w:val="00BB138F"/>
    <w:rsid w:val="00BB5E84"/>
    <w:rsid w:val="00BC3164"/>
    <w:rsid w:val="00BC3428"/>
    <w:rsid w:val="00BD2C9C"/>
    <w:rsid w:val="00BD7CCA"/>
    <w:rsid w:val="00BE08C8"/>
    <w:rsid w:val="00BE3F5F"/>
    <w:rsid w:val="00BE5877"/>
    <w:rsid w:val="00BE5D27"/>
    <w:rsid w:val="00BE5F1C"/>
    <w:rsid w:val="00BE69DB"/>
    <w:rsid w:val="00BE7760"/>
    <w:rsid w:val="00BE7969"/>
    <w:rsid w:val="00BF129F"/>
    <w:rsid w:val="00BF1686"/>
    <w:rsid w:val="00BF4AE1"/>
    <w:rsid w:val="00BF5CF9"/>
    <w:rsid w:val="00BF726F"/>
    <w:rsid w:val="00BF7CD5"/>
    <w:rsid w:val="00C00360"/>
    <w:rsid w:val="00C045E6"/>
    <w:rsid w:val="00C04A7E"/>
    <w:rsid w:val="00C05324"/>
    <w:rsid w:val="00C14BE6"/>
    <w:rsid w:val="00C15033"/>
    <w:rsid w:val="00C15307"/>
    <w:rsid w:val="00C17E27"/>
    <w:rsid w:val="00C17F5F"/>
    <w:rsid w:val="00C20AAB"/>
    <w:rsid w:val="00C24C76"/>
    <w:rsid w:val="00C25B2E"/>
    <w:rsid w:val="00C3009B"/>
    <w:rsid w:val="00C379C4"/>
    <w:rsid w:val="00C41369"/>
    <w:rsid w:val="00C42F81"/>
    <w:rsid w:val="00C43887"/>
    <w:rsid w:val="00C4499A"/>
    <w:rsid w:val="00C451AA"/>
    <w:rsid w:val="00C510F4"/>
    <w:rsid w:val="00C51E10"/>
    <w:rsid w:val="00C5234A"/>
    <w:rsid w:val="00C53483"/>
    <w:rsid w:val="00C54928"/>
    <w:rsid w:val="00C5785A"/>
    <w:rsid w:val="00C60CE1"/>
    <w:rsid w:val="00C618A5"/>
    <w:rsid w:val="00C64DA0"/>
    <w:rsid w:val="00C71C0E"/>
    <w:rsid w:val="00C72C83"/>
    <w:rsid w:val="00C72E2E"/>
    <w:rsid w:val="00C73B9A"/>
    <w:rsid w:val="00C75EB3"/>
    <w:rsid w:val="00C75EC2"/>
    <w:rsid w:val="00C76B49"/>
    <w:rsid w:val="00C7700F"/>
    <w:rsid w:val="00C8093B"/>
    <w:rsid w:val="00C80D15"/>
    <w:rsid w:val="00C82523"/>
    <w:rsid w:val="00C83B6F"/>
    <w:rsid w:val="00C84773"/>
    <w:rsid w:val="00C84A2D"/>
    <w:rsid w:val="00C859DF"/>
    <w:rsid w:val="00C914A9"/>
    <w:rsid w:val="00C92199"/>
    <w:rsid w:val="00C93938"/>
    <w:rsid w:val="00C9712C"/>
    <w:rsid w:val="00CA3D7A"/>
    <w:rsid w:val="00CA43B1"/>
    <w:rsid w:val="00CA7173"/>
    <w:rsid w:val="00CA741C"/>
    <w:rsid w:val="00CB4263"/>
    <w:rsid w:val="00CB4936"/>
    <w:rsid w:val="00CC01B9"/>
    <w:rsid w:val="00CC0A31"/>
    <w:rsid w:val="00CC743F"/>
    <w:rsid w:val="00CD0854"/>
    <w:rsid w:val="00CD391F"/>
    <w:rsid w:val="00CD58C4"/>
    <w:rsid w:val="00CE0AC5"/>
    <w:rsid w:val="00CE2511"/>
    <w:rsid w:val="00CE377C"/>
    <w:rsid w:val="00CE37AB"/>
    <w:rsid w:val="00CE68FF"/>
    <w:rsid w:val="00CE6D65"/>
    <w:rsid w:val="00CF06A1"/>
    <w:rsid w:val="00CF1EAA"/>
    <w:rsid w:val="00CF2A50"/>
    <w:rsid w:val="00CF55B7"/>
    <w:rsid w:val="00D02CDD"/>
    <w:rsid w:val="00D06AB4"/>
    <w:rsid w:val="00D110A4"/>
    <w:rsid w:val="00D135FE"/>
    <w:rsid w:val="00D16181"/>
    <w:rsid w:val="00D30066"/>
    <w:rsid w:val="00D41426"/>
    <w:rsid w:val="00D4368B"/>
    <w:rsid w:val="00D467BE"/>
    <w:rsid w:val="00D47361"/>
    <w:rsid w:val="00D51452"/>
    <w:rsid w:val="00D52E43"/>
    <w:rsid w:val="00D61123"/>
    <w:rsid w:val="00D63FBE"/>
    <w:rsid w:val="00D65221"/>
    <w:rsid w:val="00D71D01"/>
    <w:rsid w:val="00D72EDB"/>
    <w:rsid w:val="00D743FF"/>
    <w:rsid w:val="00D74539"/>
    <w:rsid w:val="00D76241"/>
    <w:rsid w:val="00D76C26"/>
    <w:rsid w:val="00D8096B"/>
    <w:rsid w:val="00D81025"/>
    <w:rsid w:val="00D81902"/>
    <w:rsid w:val="00D82088"/>
    <w:rsid w:val="00D92DE6"/>
    <w:rsid w:val="00D934BC"/>
    <w:rsid w:val="00D94F6C"/>
    <w:rsid w:val="00D963C1"/>
    <w:rsid w:val="00DA3D51"/>
    <w:rsid w:val="00DA4BFE"/>
    <w:rsid w:val="00DA6771"/>
    <w:rsid w:val="00DB3F2D"/>
    <w:rsid w:val="00DB4D65"/>
    <w:rsid w:val="00DB6CD7"/>
    <w:rsid w:val="00DC1BC5"/>
    <w:rsid w:val="00DC5B17"/>
    <w:rsid w:val="00DC6FF0"/>
    <w:rsid w:val="00DD02E7"/>
    <w:rsid w:val="00DD2017"/>
    <w:rsid w:val="00DD273D"/>
    <w:rsid w:val="00DD7DF7"/>
    <w:rsid w:val="00DE119C"/>
    <w:rsid w:val="00DE4175"/>
    <w:rsid w:val="00DE502F"/>
    <w:rsid w:val="00DE763A"/>
    <w:rsid w:val="00DE7F62"/>
    <w:rsid w:val="00DF2ACD"/>
    <w:rsid w:val="00DF40EC"/>
    <w:rsid w:val="00DF50CE"/>
    <w:rsid w:val="00DF7EF5"/>
    <w:rsid w:val="00E02473"/>
    <w:rsid w:val="00E03AB4"/>
    <w:rsid w:val="00E04905"/>
    <w:rsid w:val="00E05808"/>
    <w:rsid w:val="00E05EDA"/>
    <w:rsid w:val="00E06A85"/>
    <w:rsid w:val="00E11AA1"/>
    <w:rsid w:val="00E1330A"/>
    <w:rsid w:val="00E137C7"/>
    <w:rsid w:val="00E13DBD"/>
    <w:rsid w:val="00E149A4"/>
    <w:rsid w:val="00E2310D"/>
    <w:rsid w:val="00E25E67"/>
    <w:rsid w:val="00E26759"/>
    <w:rsid w:val="00E2729D"/>
    <w:rsid w:val="00E3002F"/>
    <w:rsid w:val="00E319FB"/>
    <w:rsid w:val="00E34BF5"/>
    <w:rsid w:val="00E36F18"/>
    <w:rsid w:val="00E373C9"/>
    <w:rsid w:val="00E40F09"/>
    <w:rsid w:val="00E447D4"/>
    <w:rsid w:val="00E449A9"/>
    <w:rsid w:val="00E46D53"/>
    <w:rsid w:val="00E476A1"/>
    <w:rsid w:val="00E51EB4"/>
    <w:rsid w:val="00E5387F"/>
    <w:rsid w:val="00E53BEC"/>
    <w:rsid w:val="00E610E1"/>
    <w:rsid w:val="00E61B0A"/>
    <w:rsid w:val="00E62354"/>
    <w:rsid w:val="00E639AD"/>
    <w:rsid w:val="00E6427D"/>
    <w:rsid w:val="00E64A27"/>
    <w:rsid w:val="00E6591E"/>
    <w:rsid w:val="00E65E64"/>
    <w:rsid w:val="00E7053D"/>
    <w:rsid w:val="00E74EEF"/>
    <w:rsid w:val="00E74FC9"/>
    <w:rsid w:val="00E7591D"/>
    <w:rsid w:val="00E766EE"/>
    <w:rsid w:val="00E76D7F"/>
    <w:rsid w:val="00E7701D"/>
    <w:rsid w:val="00E775BC"/>
    <w:rsid w:val="00E855D1"/>
    <w:rsid w:val="00E86810"/>
    <w:rsid w:val="00E903A6"/>
    <w:rsid w:val="00E9242A"/>
    <w:rsid w:val="00E92E9F"/>
    <w:rsid w:val="00E9637C"/>
    <w:rsid w:val="00E963AA"/>
    <w:rsid w:val="00E9749E"/>
    <w:rsid w:val="00EA2D7D"/>
    <w:rsid w:val="00EA3CB0"/>
    <w:rsid w:val="00EA6E9E"/>
    <w:rsid w:val="00EA708D"/>
    <w:rsid w:val="00EA7800"/>
    <w:rsid w:val="00EB00D6"/>
    <w:rsid w:val="00EB2DFD"/>
    <w:rsid w:val="00EB3953"/>
    <w:rsid w:val="00EB7E3E"/>
    <w:rsid w:val="00EC4468"/>
    <w:rsid w:val="00EC7B8E"/>
    <w:rsid w:val="00ED0151"/>
    <w:rsid w:val="00ED1446"/>
    <w:rsid w:val="00ED3E25"/>
    <w:rsid w:val="00ED71A5"/>
    <w:rsid w:val="00EE044A"/>
    <w:rsid w:val="00EE2273"/>
    <w:rsid w:val="00EE41AE"/>
    <w:rsid w:val="00EE52C9"/>
    <w:rsid w:val="00EE6270"/>
    <w:rsid w:val="00EF071C"/>
    <w:rsid w:val="00EF4794"/>
    <w:rsid w:val="00EF6CCE"/>
    <w:rsid w:val="00F048D1"/>
    <w:rsid w:val="00F04E8E"/>
    <w:rsid w:val="00F1292F"/>
    <w:rsid w:val="00F12D64"/>
    <w:rsid w:val="00F178AA"/>
    <w:rsid w:val="00F17E5E"/>
    <w:rsid w:val="00F207F3"/>
    <w:rsid w:val="00F21811"/>
    <w:rsid w:val="00F263DB"/>
    <w:rsid w:val="00F27453"/>
    <w:rsid w:val="00F3437E"/>
    <w:rsid w:val="00F36C2C"/>
    <w:rsid w:val="00F379AB"/>
    <w:rsid w:val="00F45107"/>
    <w:rsid w:val="00F474B9"/>
    <w:rsid w:val="00F476C7"/>
    <w:rsid w:val="00F47FDA"/>
    <w:rsid w:val="00F51E61"/>
    <w:rsid w:val="00F52AE9"/>
    <w:rsid w:val="00F52D2F"/>
    <w:rsid w:val="00F55ACB"/>
    <w:rsid w:val="00F56733"/>
    <w:rsid w:val="00F567E8"/>
    <w:rsid w:val="00F60958"/>
    <w:rsid w:val="00F622C9"/>
    <w:rsid w:val="00F655DB"/>
    <w:rsid w:val="00F67215"/>
    <w:rsid w:val="00F8010F"/>
    <w:rsid w:val="00F80455"/>
    <w:rsid w:val="00F84FB5"/>
    <w:rsid w:val="00F876BC"/>
    <w:rsid w:val="00F91430"/>
    <w:rsid w:val="00F92ECF"/>
    <w:rsid w:val="00F956F3"/>
    <w:rsid w:val="00F968C8"/>
    <w:rsid w:val="00F97820"/>
    <w:rsid w:val="00FA00FC"/>
    <w:rsid w:val="00FA1537"/>
    <w:rsid w:val="00FA7C0F"/>
    <w:rsid w:val="00FB38FA"/>
    <w:rsid w:val="00FB3C0A"/>
    <w:rsid w:val="00FB4215"/>
    <w:rsid w:val="00FB55B6"/>
    <w:rsid w:val="00FB62BD"/>
    <w:rsid w:val="00FC20D4"/>
    <w:rsid w:val="00FC31E7"/>
    <w:rsid w:val="00FC354E"/>
    <w:rsid w:val="00FC7B8B"/>
    <w:rsid w:val="00FD13F3"/>
    <w:rsid w:val="00FD4548"/>
    <w:rsid w:val="00FD6258"/>
    <w:rsid w:val="00FD6949"/>
    <w:rsid w:val="00FD7AA7"/>
    <w:rsid w:val="00FE5DC5"/>
    <w:rsid w:val="00FF06EE"/>
    <w:rsid w:val="00FF09CF"/>
    <w:rsid w:val="00FF6098"/>
    <w:rsid w:val="0145D014"/>
    <w:rsid w:val="01B27740"/>
    <w:rsid w:val="022687B2"/>
    <w:rsid w:val="02343382"/>
    <w:rsid w:val="02412659"/>
    <w:rsid w:val="02584E3C"/>
    <w:rsid w:val="02A5313A"/>
    <w:rsid w:val="02DB5CAB"/>
    <w:rsid w:val="0304C8DA"/>
    <w:rsid w:val="0319AFCC"/>
    <w:rsid w:val="033F4C6C"/>
    <w:rsid w:val="03607084"/>
    <w:rsid w:val="036259FC"/>
    <w:rsid w:val="03B09AD8"/>
    <w:rsid w:val="03EB2B07"/>
    <w:rsid w:val="042D8777"/>
    <w:rsid w:val="047B6C6F"/>
    <w:rsid w:val="04B1B320"/>
    <w:rsid w:val="04CABCA8"/>
    <w:rsid w:val="04D72FEE"/>
    <w:rsid w:val="04E2CDA3"/>
    <w:rsid w:val="0521B679"/>
    <w:rsid w:val="052484DB"/>
    <w:rsid w:val="05811540"/>
    <w:rsid w:val="058BE8FE"/>
    <w:rsid w:val="05B3040C"/>
    <w:rsid w:val="05EB7D1D"/>
    <w:rsid w:val="05F5856B"/>
    <w:rsid w:val="063602B7"/>
    <w:rsid w:val="066F20D9"/>
    <w:rsid w:val="06A18A74"/>
    <w:rsid w:val="06E53362"/>
    <w:rsid w:val="06EC6490"/>
    <w:rsid w:val="06F475FB"/>
    <w:rsid w:val="07455B84"/>
    <w:rsid w:val="074E18F1"/>
    <w:rsid w:val="0751F103"/>
    <w:rsid w:val="07B413B8"/>
    <w:rsid w:val="07EA96CE"/>
    <w:rsid w:val="082708BF"/>
    <w:rsid w:val="08427F49"/>
    <w:rsid w:val="084E6ACA"/>
    <w:rsid w:val="08542C46"/>
    <w:rsid w:val="0863EE4B"/>
    <w:rsid w:val="08668BE3"/>
    <w:rsid w:val="088955F0"/>
    <w:rsid w:val="08A832FD"/>
    <w:rsid w:val="090EA6D2"/>
    <w:rsid w:val="093FF898"/>
    <w:rsid w:val="09B413B7"/>
    <w:rsid w:val="09DC5958"/>
    <w:rsid w:val="09F71268"/>
    <w:rsid w:val="0A0F7B37"/>
    <w:rsid w:val="0A4631C4"/>
    <w:rsid w:val="0A92752B"/>
    <w:rsid w:val="0ACC9076"/>
    <w:rsid w:val="0AFEB7FC"/>
    <w:rsid w:val="0B004B93"/>
    <w:rsid w:val="0B43FC85"/>
    <w:rsid w:val="0B46E2E5"/>
    <w:rsid w:val="0B8342E5"/>
    <w:rsid w:val="0B95FEBE"/>
    <w:rsid w:val="0BC8D76C"/>
    <w:rsid w:val="0C039DB2"/>
    <w:rsid w:val="0C2A98F6"/>
    <w:rsid w:val="0C3A04EB"/>
    <w:rsid w:val="0C420B2D"/>
    <w:rsid w:val="0C509A5E"/>
    <w:rsid w:val="0C787F48"/>
    <w:rsid w:val="0D1BC0C9"/>
    <w:rsid w:val="0D2DF758"/>
    <w:rsid w:val="0DE5EAA8"/>
    <w:rsid w:val="0E22F50C"/>
    <w:rsid w:val="0E27AD9D"/>
    <w:rsid w:val="0E37B33E"/>
    <w:rsid w:val="0E38F540"/>
    <w:rsid w:val="0E431C70"/>
    <w:rsid w:val="0E5AC98B"/>
    <w:rsid w:val="0E5F66FD"/>
    <w:rsid w:val="0E6410AD"/>
    <w:rsid w:val="0E81EDBD"/>
    <w:rsid w:val="0F01892E"/>
    <w:rsid w:val="0F0BE866"/>
    <w:rsid w:val="0F2005CC"/>
    <w:rsid w:val="0F3B24B2"/>
    <w:rsid w:val="0F4E120D"/>
    <w:rsid w:val="0F57598B"/>
    <w:rsid w:val="0F86173D"/>
    <w:rsid w:val="0FD7940D"/>
    <w:rsid w:val="0FEB198C"/>
    <w:rsid w:val="103C3B9D"/>
    <w:rsid w:val="1050349A"/>
    <w:rsid w:val="106566FA"/>
    <w:rsid w:val="107E34D0"/>
    <w:rsid w:val="10B2D48A"/>
    <w:rsid w:val="10BE654F"/>
    <w:rsid w:val="10BF2E77"/>
    <w:rsid w:val="10E6BEBF"/>
    <w:rsid w:val="11330558"/>
    <w:rsid w:val="11374B3F"/>
    <w:rsid w:val="115A61C4"/>
    <w:rsid w:val="11A184FB"/>
    <w:rsid w:val="11B3BAB8"/>
    <w:rsid w:val="11FA5E5E"/>
    <w:rsid w:val="12211907"/>
    <w:rsid w:val="122914F9"/>
    <w:rsid w:val="1253193E"/>
    <w:rsid w:val="127F4A6C"/>
    <w:rsid w:val="12D03268"/>
    <w:rsid w:val="13591807"/>
    <w:rsid w:val="135A46F7"/>
    <w:rsid w:val="13A69F1A"/>
    <w:rsid w:val="13A7F2A6"/>
    <w:rsid w:val="13B53E1A"/>
    <w:rsid w:val="13E07290"/>
    <w:rsid w:val="13F5873A"/>
    <w:rsid w:val="145EDA57"/>
    <w:rsid w:val="1487C0AF"/>
    <w:rsid w:val="14C15F21"/>
    <w:rsid w:val="14D3CA46"/>
    <w:rsid w:val="151586AC"/>
    <w:rsid w:val="151A9DC1"/>
    <w:rsid w:val="151B9884"/>
    <w:rsid w:val="1596C2E7"/>
    <w:rsid w:val="1677B9C8"/>
    <w:rsid w:val="16ACED11"/>
    <w:rsid w:val="1720A5A7"/>
    <w:rsid w:val="1726C523"/>
    <w:rsid w:val="1752BAF1"/>
    <w:rsid w:val="17980B07"/>
    <w:rsid w:val="17C145F5"/>
    <w:rsid w:val="17C2B415"/>
    <w:rsid w:val="17C91AFA"/>
    <w:rsid w:val="17F8686B"/>
    <w:rsid w:val="18138A29"/>
    <w:rsid w:val="181D07EF"/>
    <w:rsid w:val="18373CB1"/>
    <w:rsid w:val="1869F835"/>
    <w:rsid w:val="186FD7D5"/>
    <w:rsid w:val="189E7D9B"/>
    <w:rsid w:val="18D431F1"/>
    <w:rsid w:val="19180624"/>
    <w:rsid w:val="195CDCF0"/>
    <w:rsid w:val="1977D6D6"/>
    <w:rsid w:val="19A183F0"/>
    <w:rsid w:val="19B7E802"/>
    <w:rsid w:val="1A2100BF"/>
    <w:rsid w:val="1A5AFE3D"/>
    <w:rsid w:val="1A69B52A"/>
    <w:rsid w:val="1AB705BF"/>
    <w:rsid w:val="1AC58FD4"/>
    <w:rsid w:val="1B029A38"/>
    <w:rsid w:val="1B11F571"/>
    <w:rsid w:val="1B159DCF"/>
    <w:rsid w:val="1B1E08B8"/>
    <w:rsid w:val="1B496043"/>
    <w:rsid w:val="1B8B5926"/>
    <w:rsid w:val="1C216CC2"/>
    <w:rsid w:val="1C45764C"/>
    <w:rsid w:val="1C4F5C10"/>
    <w:rsid w:val="1C883AEB"/>
    <w:rsid w:val="1D7500DA"/>
    <w:rsid w:val="1D9CE736"/>
    <w:rsid w:val="1DDC0C1D"/>
    <w:rsid w:val="1DE0472F"/>
    <w:rsid w:val="1DEB01C6"/>
    <w:rsid w:val="1DF5EDD9"/>
    <w:rsid w:val="1DFB3858"/>
    <w:rsid w:val="1E0A9408"/>
    <w:rsid w:val="1E0B83DC"/>
    <w:rsid w:val="1E199785"/>
    <w:rsid w:val="1E2EB707"/>
    <w:rsid w:val="1E3AEF62"/>
    <w:rsid w:val="1E756929"/>
    <w:rsid w:val="1E79017F"/>
    <w:rsid w:val="1E8377A5"/>
    <w:rsid w:val="1E8E0EE0"/>
    <w:rsid w:val="1EFD4D96"/>
    <w:rsid w:val="1FCB51D3"/>
    <w:rsid w:val="1FD5570C"/>
    <w:rsid w:val="1FDFC1A5"/>
    <w:rsid w:val="20299C2A"/>
    <w:rsid w:val="206B87C4"/>
    <w:rsid w:val="20787196"/>
    <w:rsid w:val="208D5A69"/>
    <w:rsid w:val="20AF055B"/>
    <w:rsid w:val="20CEE212"/>
    <w:rsid w:val="20D3D49C"/>
    <w:rsid w:val="20E972E0"/>
    <w:rsid w:val="20EA85AD"/>
    <w:rsid w:val="2113EF41"/>
    <w:rsid w:val="219ADA72"/>
    <w:rsid w:val="21A858AC"/>
    <w:rsid w:val="21BADA8B"/>
    <w:rsid w:val="21C143FD"/>
    <w:rsid w:val="21DAA21E"/>
    <w:rsid w:val="21FFD17A"/>
    <w:rsid w:val="22D4D3B1"/>
    <w:rsid w:val="22F2BE53"/>
    <w:rsid w:val="22F4780B"/>
    <w:rsid w:val="230BCDA1"/>
    <w:rsid w:val="2339BA4C"/>
    <w:rsid w:val="23CA58F9"/>
    <w:rsid w:val="23E73076"/>
    <w:rsid w:val="23F55211"/>
    <w:rsid w:val="2407C804"/>
    <w:rsid w:val="244F7303"/>
    <w:rsid w:val="24B8CC27"/>
    <w:rsid w:val="24D8869D"/>
    <w:rsid w:val="25440032"/>
    <w:rsid w:val="25660355"/>
    <w:rsid w:val="258CC045"/>
    <w:rsid w:val="258D9982"/>
    <w:rsid w:val="258E5FC6"/>
    <w:rsid w:val="25CD23F1"/>
    <w:rsid w:val="2605E5CF"/>
    <w:rsid w:val="2615F4D4"/>
    <w:rsid w:val="2690328E"/>
    <w:rsid w:val="26E80B6D"/>
    <w:rsid w:val="26EA97C6"/>
    <w:rsid w:val="26F0FD86"/>
    <w:rsid w:val="27167CB6"/>
    <w:rsid w:val="27534AB7"/>
    <w:rsid w:val="275DF06D"/>
    <w:rsid w:val="27A5359E"/>
    <w:rsid w:val="281CD2AF"/>
    <w:rsid w:val="282D428C"/>
    <w:rsid w:val="2832180F"/>
    <w:rsid w:val="284CEA93"/>
    <w:rsid w:val="284DC4BD"/>
    <w:rsid w:val="28DCDA9D"/>
    <w:rsid w:val="28E9599C"/>
    <w:rsid w:val="2966C534"/>
    <w:rsid w:val="297144E5"/>
    <w:rsid w:val="29B99F2F"/>
    <w:rsid w:val="29CD6BDA"/>
    <w:rsid w:val="29D09CBB"/>
    <w:rsid w:val="29F30208"/>
    <w:rsid w:val="2A016C9C"/>
    <w:rsid w:val="2A02C403"/>
    <w:rsid w:val="2A814677"/>
    <w:rsid w:val="2AD1315C"/>
    <w:rsid w:val="2B2A3642"/>
    <w:rsid w:val="2BB6292A"/>
    <w:rsid w:val="2BBA8CAF"/>
    <w:rsid w:val="2BD17096"/>
    <w:rsid w:val="2BD3288A"/>
    <w:rsid w:val="2BDA5283"/>
    <w:rsid w:val="2BF2026A"/>
    <w:rsid w:val="2C11204D"/>
    <w:rsid w:val="2C54BAF5"/>
    <w:rsid w:val="2C89C688"/>
    <w:rsid w:val="2D41A416"/>
    <w:rsid w:val="2E0D5BF3"/>
    <w:rsid w:val="2E2DE916"/>
    <w:rsid w:val="2E5B0D42"/>
    <w:rsid w:val="2E948152"/>
    <w:rsid w:val="2E9E4231"/>
    <w:rsid w:val="2EBB6D61"/>
    <w:rsid w:val="2EE0D867"/>
    <w:rsid w:val="2EF30541"/>
    <w:rsid w:val="2F009952"/>
    <w:rsid w:val="2F55BA2E"/>
    <w:rsid w:val="2F5768E1"/>
    <w:rsid w:val="2F893581"/>
    <w:rsid w:val="2F8FE0D9"/>
    <w:rsid w:val="2F9AA9B9"/>
    <w:rsid w:val="2F9C77C3"/>
    <w:rsid w:val="2F9FFC84"/>
    <w:rsid w:val="3032E08B"/>
    <w:rsid w:val="30D8F335"/>
    <w:rsid w:val="314A502E"/>
    <w:rsid w:val="317D41FD"/>
    <w:rsid w:val="31B0C0AC"/>
    <w:rsid w:val="32213354"/>
    <w:rsid w:val="32376D9A"/>
    <w:rsid w:val="32378049"/>
    <w:rsid w:val="323A3BF2"/>
    <w:rsid w:val="324D6DCE"/>
    <w:rsid w:val="326A148E"/>
    <w:rsid w:val="32E14665"/>
    <w:rsid w:val="331D03B2"/>
    <w:rsid w:val="33578938"/>
    <w:rsid w:val="338B53E8"/>
    <w:rsid w:val="33905742"/>
    <w:rsid w:val="3390590C"/>
    <w:rsid w:val="33A2446A"/>
    <w:rsid w:val="33A3B1FC"/>
    <w:rsid w:val="33A60DA8"/>
    <w:rsid w:val="33B91BB3"/>
    <w:rsid w:val="33E264C9"/>
    <w:rsid w:val="33E32841"/>
    <w:rsid w:val="341541C6"/>
    <w:rsid w:val="342889A4"/>
    <w:rsid w:val="342B1024"/>
    <w:rsid w:val="3443943D"/>
    <w:rsid w:val="348C603B"/>
    <w:rsid w:val="34AA3D61"/>
    <w:rsid w:val="34F39B02"/>
    <w:rsid w:val="350341CF"/>
    <w:rsid w:val="35297FF5"/>
    <w:rsid w:val="3546CB9F"/>
    <w:rsid w:val="35891C39"/>
    <w:rsid w:val="35B9DBA1"/>
    <w:rsid w:val="35C572F3"/>
    <w:rsid w:val="35D52806"/>
    <w:rsid w:val="3733B975"/>
    <w:rsid w:val="377B73A1"/>
    <w:rsid w:val="378ADC3F"/>
    <w:rsid w:val="3794FC6C"/>
    <w:rsid w:val="38179C3E"/>
    <w:rsid w:val="3825A128"/>
    <w:rsid w:val="38676197"/>
    <w:rsid w:val="38A0BD46"/>
    <w:rsid w:val="38A713C5"/>
    <w:rsid w:val="38ADC56D"/>
    <w:rsid w:val="38E2AB3E"/>
    <w:rsid w:val="38EFBB47"/>
    <w:rsid w:val="39127C71"/>
    <w:rsid w:val="39234525"/>
    <w:rsid w:val="3924F304"/>
    <w:rsid w:val="39324D56"/>
    <w:rsid w:val="3971FC83"/>
    <w:rsid w:val="3994000E"/>
    <w:rsid w:val="399E6F59"/>
    <w:rsid w:val="3ACF7CC3"/>
    <w:rsid w:val="3AD4C6DD"/>
    <w:rsid w:val="3ADDD584"/>
    <w:rsid w:val="3B0773F0"/>
    <w:rsid w:val="3B111293"/>
    <w:rsid w:val="3B178A6F"/>
    <w:rsid w:val="3B2ACA50"/>
    <w:rsid w:val="3B344068"/>
    <w:rsid w:val="3B475192"/>
    <w:rsid w:val="3B6637A8"/>
    <w:rsid w:val="3B740C4C"/>
    <w:rsid w:val="3B8E4671"/>
    <w:rsid w:val="3BB82C70"/>
    <w:rsid w:val="3BD72D9F"/>
    <w:rsid w:val="3BE45732"/>
    <w:rsid w:val="3C06F003"/>
    <w:rsid w:val="3C32A916"/>
    <w:rsid w:val="3C5ACD5E"/>
    <w:rsid w:val="3C5F6DDB"/>
    <w:rsid w:val="3C83C300"/>
    <w:rsid w:val="3CEA54BF"/>
    <w:rsid w:val="3D326D39"/>
    <w:rsid w:val="3D85CB72"/>
    <w:rsid w:val="3D8E8F12"/>
    <w:rsid w:val="3DA48F46"/>
    <w:rsid w:val="3DAAFAEC"/>
    <w:rsid w:val="3DD25711"/>
    <w:rsid w:val="3DE5DC8C"/>
    <w:rsid w:val="3DF65D61"/>
    <w:rsid w:val="3E31C64F"/>
    <w:rsid w:val="3E5255CF"/>
    <w:rsid w:val="3E799B31"/>
    <w:rsid w:val="3E82D7A8"/>
    <w:rsid w:val="3EA00CEE"/>
    <w:rsid w:val="3EA2F47F"/>
    <w:rsid w:val="3EA52616"/>
    <w:rsid w:val="3EAAF875"/>
    <w:rsid w:val="3EB00AB3"/>
    <w:rsid w:val="3F0F7E9F"/>
    <w:rsid w:val="3F279CEC"/>
    <w:rsid w:val="3F5C1681"/>
    <w:rsid w:val="3FB2EB90"/>
    <w:rsid w:val="402706A4"/>
    <w:rsid w:val="402B57D8"/>
    <w:rsid w:val="402DBF22"/>
    <w:rsid w:val="403E9661"/>
    <w:rsid w:val="40468847"/>
    <w:rsid w:val="40670054"/>
    <w:rsid w:val="40B90216"/>
    <w:rsid w:val="40EA55AC"/>
    <w:rsid w:val="41277D8B"/>
    <w:rsid w:val="418B3280"/>
    <w:rsid w:val="41A161E2"/>
    <w:rsid w:val="41A8AB24"/>
    <w:rsid w:val="41C7B9EA"/>
    <w:rsid w:val="4205EDC8"/>
    <w:rsid w:val="42396369"/>
    <w:rsid w:val="42472621"/>
    <w:rsid w:val="424F639D"/>
    <w:rsid w:val="4263542F"/>
    <w:rsid w:val="42681A87"/>
    <w:rsid w:val="42CBDD90"/>
    <w:rsid w:val="4308FE5E"/>
    <w:rsid w:val="4362693F"/>
    <w:rsid w:val="43F4B51B"/>
    <w:rsid w:val="44387D1A"/>
    <w:rsid w:val="446E3170"/>
    <w:rsid w:val="4477672D"/>
    <w:rsid w:val="44878A58"/>
    <w:rsid w:val="44D8E210"/>
    <w:rsid w:val="452B75C4"/>
    <w:rsid w:val="456EF62D"/>
    <w:rsid w:val="457554ED"/>
    <w:rsid w:val="4581ED16"/>
    <w:rsid w:val="45980D60"/>
    <w:rsid w:val="459AC426"/>
    <w:rsid w:val="459FD3E9"/>
    <w:rsid w:val="45A781CF"/>
    <w:rsid w:val="45DD5F81"/>
    <w:rsid w:val="4650CA9B"/>
    <w:rsid w:val="467408BC"/>
    <w:rsid w:val="46889C59"/>
    <w:rsid w:val="46A07EAF"/>
    <w:rsid w:val="46A2FF77"/>
    <w:rsid w:val="46C308D2"/>
    <w:rsid w:val="47171EF7"/>
    <w:rsid w:val="47187E84"/>
    <w:rsid w:val="471B814A"/>
    <w:rsid w:val="4794C931"/>
    <w:rsid w:val="4798E0AD"/>
    <w:rsid w:val="481D881F"/>
    <w:rsid w:val="482070AB"/>
    <w:rsid w:val="487B35F8"/>
    <w:rsid w:val="489AC0B2"/>
    <w:rsid w:val="48ABC9E7"/>
    <w:rsid w:val="48CCACF9"/>
    <w:rsid w:val="48F46BEC"/>
    <w:rsid w:val="491B957D"/>
    <w:rsid w:val="492FD8EC"/>
    <w:rsid w:val="4937A56B"/>
    <w:rsid w:val="499210A9"/>
    <w:rsid w:val="49EB61F5"/>
    <w:rsid w:val="4A1CA1D0"/>
    <w:rsid w:val="4A2940A6"/>
    <w:rsid w:val="4A862D92"/>
    <w:rsid w:val="4A974D15"/>
    <w:rsid w:val="4ACAFC61"/>
    <w:rsid w:val="4AFCCAA6"/>
    <w:rsid w:val="4B09FE90"/>
    <w:rsid w:val="4B6147D4"/>
    <w:rsid w:val="4BDD4766"/>
    <w:rsid w:val="4C3B6FA3"/>
    <w:rsid w:val="4CB49447"/>
    <w:rsid w:val="4CD1CFD7"/>
    <w:rsid w:val="4CE47930"/>
    <w:rsid w:val="4D309CF9"/>
    <w:rsid w:val="4D403A9C"/>
    <w:rsid w:val="4DB11289"/>
    <w:rsid w:val="4DC068BB"/>
    <w:rsid w:val="4E66A9F7"/>
    <w:rsid w:val="4E8FE71F"/>
    <w:rsid w:val="4F2E0CAA"/>
    <w:rsid w:val="4FACACBD"/>
    <w:rsid w:val="4FC6B275"/>
    <w:rsid w:val="50348470"/>
    <w:rsid w:val="50588012"/>
    <w:rsid w:val="5081191C"/>
    <w:rsid w:val="5099F6FD"/>
    <w:rsid w:val="50C2A17C"/>
    <w:rsid w:val="51029151"/>
    <w:rsid w:val="513A5715"/>
    <w:rsid w:val="51594995"/>
    <w:rsid w:val="5170BDFF"/>
    <w:rsid w:val="51820427"/>
    <w:rsid w:val="51B35593"/>
    <w:rsid w:val="51E8FEC5"/>
    <w:rsid w:val="51EEBBFE"/>
    <w:rsid w:val="51FB807C"/>
    <w:rsid w:val="52110403"/>
    <w:rsid w:val="52A98237"/>
    <w:rsid w:val="533DEF6D"/>
    <w:rsid w:val="53A27AB1"/>
    <w:rsid w:val="53A62C9A"/>
    <w:rsid w:val="53A9DC09"/>
    <w:rsid w:val="53B0C68E"/>
    <w:rsid w:val="540FAEFC"/>
    <w:rsid w:val="5420BF48"/>
    <w:rsid w:val="5443178A"/>
    <w:rsid w:val="5464D3E9"/>
    <w:rsid w:val="54741682"/>
    <w:rsid w:val="54917B9E"/>
    <w:rsid w:val="54A29BCD"/>
    <w:rsid w:val="54A9CAD8"/>
    <w:rsid w:val="5503930B"/>
    <w:rsid w:val="553289C6"/>
    <w:rsid w:val="5547362A"/>
    <w:rsid w:val="55647AC4"/>
    <w:rsid w:val="5569CF7F"/>
    <w:rsid w:val="55A95F01"/>
    <w:rsid w:val="55DB2EAC"/>
    <w:rsid w:val="55E903B3"/>
    <w:rsid w:val="55F2A70F"/>
    <w:rsid w:val="560647C4"/>
    <w:rsid w:val="563DC9DF"/>
    <w:rsid w:val="568A374A"/>
    <w:rsid w:val="56924368"/>
    <w:rsid w:val="56A8E489"/>
    <w:rsid w:val="56E8499E"/>
    <w:rsid w:val="570E411E"/>
    <w:rsid w:val="57131E45"/>
    <w:rsid w:val="574E0D5D"/>
    <w:rsid w:val="5756E644"/>
    <w:rsid w:val="576628DD"/>
    <w:rsid w:val="579CC99D"/>
    <w:rsid w:val="57A9F0DC"/>
    <w:rsid w:val="57AB1FCC"/>
    <w:rsid w:val="57FE4B55"/>
    <w:rsid w:val="5840BA13"/>
    <w:rsid w:val="584DA4C4"/>
    <w:rsid w:val="5867C306"/>
    <w:rsid w:val="586A85BA"/>
    <w:rsid w:val="58F56B0E"/>
    <w:rsid w:val="5908E564"/>
    <w:rsid w:val="59165A0A"/>
    <w:rsid w:val="594C0E60"/>
    <w:rsid w:val="5965C92A"/>
    <w:rsid w:val="59A43A12"/>
    <w:rsid w:val="59CDC045"/>
    <w:rsid w:val="59CE8965"/>
    <w:rsid w:val="5A27900F"/>
    <w:rsid w:val="5A2D1BAC"/>
    <w:rsid w:val="5A6DEF4E"/>
    <w:rsid w:val="5A8DB2E4"/>
    <w:rsid w:val="5A9AE238"/>
    <w:rsid w:val="5B6C48CA"/>
    <w:rsid w:val="5B9327D2"/>
    <w:rsid w:val="5C1F547A"/>
    <w:rsid w:val="5C3D5A48"/>
    <w:rsid w:val="5C3E20BB"/>
    <w:rsid w:val="5C682E07"/>
    <w:rsid w:val="5C7DC6A6"/>
    <w:rsid w:val="5C954D82"/>
    <w:rsid w:val="5CD3E1F5"/>
    <w:rsid w:val="5D315739"/>
    <w:rsid w:val="5DFE9530"/>
    <w:rsid w:val="5E16C8AF"/>
    <w:rsid w:val="5E80F6E7"/>
    <w:rsid w:val="5F07A760"/>
    <w:rsid w:val="5F349600"/>
    <w:rsid w:val="5F62B5A6"/>
    <w:rsid w:val="5F687722"/>
    <w:rsid w:val="5F6E535B"/>
    <w:rsid w:val="5FCE673E"/>
    <w:rsid w:val="601A8FA9"/>
    <w:rsid w:val="60542C85"/>
    <w:rsid w:val="60AD11BF"/>
    <w:rsid w:val="60BCB6BE"/>
    <w:rsid w:val="60D1B4E1"/>
    <w:rsid w:val="61366298"/>
    <w:rsid w:val="61917879"/>
    <w:rsid w:val="61A532AF"/>
    <w:rsid w:val="61D324D4"/>
    <w:rsid w:val="6201658E"/>
    <w:rsid w:val="62491CD0"/>
    <w:rsid w:val="629CEC1C"/>
    <w:rsid w:val="634C030D"/>
    <w:rsid w:val="63728F70"/>
    <w:rsid w:val="63BD7C19"/>
    <w:rsid w:val="644D9424"/>
    <w:rsid w:val="646AB8FB"/>
    <w:rsid w:val="6470711B"/>
    <w:rsid w:val="6471F145"/>
    <w:rsid w:val="64726267"/>
    <w:rsid w:val="649880C6"/>
    <w:rsid w:val="64B3C6EC"/>
    <w:rsid w:val="64CC281B"/>
    <w:rsid w:val="65516534"/>
    <w:rsid w:val="6552BA2E"/>
    <w:rsid w:val="6582C10F"/>
    <w:rsid w:val="65DF0744"/>
    <w:rsid w:val="6678C9B6"/>
    <w:rsid w:val="669D4227"/>
    <w:rsid w:val="66A9FE30"/>
    <w:rsid w:val="67175C7D"/>
    <w:rsid w:val="675959AE"/>
    <w:rsid w:val="67732F26"/>
    <w:rsid w:val="67D254FB"/>
    <w:rsid w:val="67ECA229"/>
    <w:rsid w:val="67F4CCDD"/>
    <w:rsid w:val="681D0CF7"/>
    <w:rsid w:val="6853FFD6"/>
    <w:rsid w:val="687D8BCB"/>
    <w:rsid w:val="68E7C587"/>
    <w:rsid w:val="68F07B22"/>
    <w:rsid w:val="68F756CC"/>
    <w:rsid w:val="695C0B0C"/>
    <w:rsid w:val="69B06D45"/>
    <w:rsid w:val="69B638E1"/>
    <w:rsid w:val="69EB6EB0"/>
    <w:rsid w:val="6A10BF69"/>
    <w:rsid w:val="6A6781D1"/>
    <w:rsid w:val="6AAE2BED"/>
    <w:rsid w:val="6ADD7988"/>
    <w:rsid w:val="6AF621D1"/>
    <w:rsid w:val="6AF7D3A1"/>
    <w:rsid w:val="6B0B65AD"/>
    <w:rsid w:val="6BB49515"/>
    <w:rsid w:val="6BC01C6F"/>
    <w:rsid w:val="6BE4B14B"/>
    <w:rsid w:val="6C33285C"/>
    <w:rsid w:val="6C8F8313"/>
    <w:rsid w:val="6CB5792B"/>
    <w:rsid w:val="6CF34506"/>
    <w:rsid w:val="6D0C6AA6"/>
    <w:rsid w:val="6D169AC9"/>
    <w:rsid w:val="6DFD3AD3"/>
    <w:rsid w:val="6E1CADC1"/>
    <w:rsid w:val="6E26C8B2"/>
    <w:rsid w:val="6E3F8F6F"/>
    <w:rsid w:val="6E4556D3"/>
    <w:rsid w:val="6E5D1499"/>
    <w:rsid w:val="6E7A676B"/>
    <w:rsid w:val="6EAE8B81"/>
    <w:rsid w:val="6EBD661C"/>
    <w:rsid w:val="6EBF61B1"/>
    <w:rsid w:val="6F10D55B"/>
    <w:rsid w:val="6F17BE86"/>
    <w:rsid w:val="6F1FC4F9"/>
    <w:rsid w:val="6F2146E4"/>
    <w:rsid w:val="6FE0E67F"/>
    <w:rsid w:val="707000FA"/>
    <w:rsid w:val="70A121C9"/>
    <w:rsid w:val="70B632AA"/>
    <w:rsid w:val="70CF7F1D"/>
    <w:rsid w:val="711E9A2D"/>
    <w:rsid w:val="7131FFB0"/>
    <w:rsid w:val="7225397F"/>
    <w:rsid w:val="7271845C"/>
    <w:rsid w:val="72944140"/>
    <w:rsid w:val="729D8C83"/>
    <w:rsid w:val="72B2BEAF"/>
    <w:rsid w:val="72BC4A9C"/>
    <w:rsid w:val="72E4BDED"/>
    <w:rsid w:val="73477F9A"/>
    <w:rsid w:val="734FDC67"/>
    <w:rsid w:val="7373BF9F"/>
    <w:rsid w:val="73A90A26"/>
    <w:rsid w:val="73AE24FC"/>
    <w:rsid w:val="73C959ED"/>
    <w:rsid w:val="74153577"/>
    <w:rsid w:val="74820240"/>
    <w:rsid w:val="74CEAF56"/>
    <w:rsid w:val="74DCC928"/>
    <w:rsid w:val="75117FC4"/>
    <w:rsid w:val="756062BD"/>
    <w:rsid w:val="756654FA"/>
    <w:rsid w:val="75EB26B5"/>
    <w:rsid w:val="7612825B"/>
    <w:rsid w:val="76314C94"/>
    <w:rsid w:val="763B585D"/>
    <w:rsid w:val="766D833A"/>
    <w:rsid w:val="768F55AA"/>
    <w:rsid w:val="76E9C216"/>
    <w:rsid w:val="7708200E"/>
    <w:rsid w:val="7716579A"/>
    <w:rsid w:val="774588DF"/>
    <w:rsid w:val="77DC2CBD"/>
    <w:rsid w:val="781B0F5B"/>
    <w:rsid w:val="7820B590"/>
    <w:rsid w:val="7879E3EF"/>
    <w:rsid w:val="7896A2B9"/>
    <w:rsid w:val="78A8B3AA"/>
    <w:rsid w:val="78DE6800"/>
    <w:rsid w:val="796AF2F7"/>
    <w:rsid w:val="79C6752A"/>
    <w:rsid w:val="7A45FD5A"/>
    <w:rsid w:val="7A65344C"/>
    <w:rsid w:val="7A7234EA"/>
    <w:rsid w:val="7AA62DF3"/>
    <w:rsid w:val="7AC7817D"/>
    <w:rsid w:val="7AEDF33A"/>
    <w:rsid w:val="7B0ADE1F"/>
    <w:rsid w:val="7B461C01"/>
    <w:rsid w:val="7B705B16"/>
    <w:rsid w:val="7B756CF3"/>
    <w:rsid w:val="7BD2EABC"/>
    <w:rsid w:val="7BE240D9"/>
    <w:rsid w:val="7C00D1DC"/>
    <w:rsid w:val="7C2244CC"/>
    <w:rsid w:val="7C2D3B9D"/>
    <w:rsid w:val="7C9E2467"/>
    <w:rsid w:val="7CA67067"/>
    <w:rsid w:val="7CAAF10C"/>
    <w:rsid w:val="7CAFF175"/>
    <w:rsid w:val="7D0CC10D"/>
    <w:rsid w:val="7D193453"/>
    <w:rsid w:val="7D1AD4B6"/>
    <w:rsid w:val="7D1B92AB"/>
    <w:rsid w:val="7D359E5B"/>
    <w:rsid w:val="7D3D0F19"/>
    <w:rsid w:val="7D3D492B"/>
    <w:rsid w:val="7DB993D8"/>
    <w:rsid w:val="7DCA0561"/>
    <w:rsid w:val="7E18E75E"/>
    <w:rsid w:val="7E20811E"/>
    <w:rsid w:val="7E706ADC"/>
    <w:rsid w:val="7EDCE403"/>
    <w:rsid w:val="7EF54C7C"/>
    <w:rsid w:val="7EFA153B"/>
    <w:rsid w:val="7F3F30F0"/>
    <w:rsid w:val="7F4DCF89"/>
    <w:rsid w:val="7F855713"/>
    <w:rsid w:val="7F956917"/>
    <w:rsid w:val="7FA644BA"/>
    <w:rsid w:val="7FB0D502"/>
    <w:rsid w:val="7FC7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97BCC"/>
  <w15:chartTrackingRefBased/>
  <w15:docId w15:val="{D1BF3AF0-A705-42E7-A338-2BBA9BF4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655D7"/>
  </w:style>
  <w:style w:type="character" w:customStyle="1" w:styleId="eop">
    <w:name w:val="eop"/>
    <w:basedOn w:val="DefaultParagraphFont"/>
    <w:rsid w:val="006655D7"/>
  </w:style>
  <w:style w:type="paragraph" w:styleId="ListParagraph">
    <w:name w:val="List Paragraph"/>
    <w:basedOn w:val="Normal"/>
    <w:uiPriority w:val="34"/>
    <w:qFormat/>
    <w:rsid w:val="00C859D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3428"/>
  </w:style>
  <w:style w:type="character" w:styleId="Hyperlink">
    <w:name w:val="Hyperlink"/>
    <w:basedOn w:val="DefaultParagraphFont"/>
    <w:uiPriority w:val="99"/>
    <w:unhideWhenUsed/>
    <w:rsid w:val="006F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D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868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E3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D5538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8C1044"/>
  </w:style>
  <w:style w:type="paragraph" w:styleId="Header">
    <w:name w:val="header"/>
    <w:basedOn w:val="Normal"/>
    <w:link w:val="HeaderChar"/>
    <w:uiPriority w:val="99"/>
    <w:unhideWhenUsed/>
    <w:rsid w:val="00247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480"/>
  </w:style>
  <w:style w:type="paragraph" w:styleId="Footer">
    <w:name w:val="footer"/>
    <w:basedOn w:val="Normal"/>
    <w:link w:val="FooterChar"/>
    <w:uiPriority w:val="99"/>
    <w:unhideWhenUsed/>
    <w:rsid w:val="00247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480"/>
  </w:style>
  <w:style w:type="paragraph" w:styleId="Revision">
    <w:name w:val="Revision"/>
    <w:hidden/>
    <w:uiPriority w:val="99"/>
    <w:semiHidden/>
    <w:rsid w:val="00BA6D8C"/>
  </w:style>
  <w:style w:type="paragraph" w:styleId="BalloonText">
    <w:name w:val="Balloon Text"/>
    <w:basedOn w:val="Normal"/>
    <w:link w:val="BalloonTextChar"/>
    <w:uiPriority w:val="99"/>
    <w:semiHidden/>
    <w:unhideWhenUsed/>
    <w:rsid w:val="00BA6D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8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10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10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10E7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AD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32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9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2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3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52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8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8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23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3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2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1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4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wer_Five_conferences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web/packages/ggplot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kaggle.com/wsj/college-salaries" TargetMode="External"/><Relationship Id="rId14" Type="http://schemas.openxmlformats.org/officeDocument/2006/relationships/hyperlink" Target="https://cran.r-project.org/web/packages/dply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6206EC-78EF-F049-9459-44EA3082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2087</Words>
  <Characters>10208</Characters>
  <Application>Microsoft Office Word</Application>
  <DocSecurity>0</DocSecurity>
  <Lines>408</Lines>
  <Paragraphs>146</Paragraphs>
  <ScaleCrop>false</ScaleCrop>
  <Company/>
  <LinksUpToDate>false</LinksUpToDate>
  <CharactersWithSpaces>12149</CharactersWithSpaces>
  <SharedDoc>false</SharedDoc>
  <HLinks>
    <vt:vector size="24" baseType="variant">
      <vt:variant>
        <vt:i4>7471207</vt:i4>
      </vt:variant>
      <vt:variant>
        <vt:i4>9</vt:i4>
      </vt:variant>
      <vt:variant>
        <vt:i4>0</vt:i4>
      </vt:variant>
      <vt:variant>
        <vt:i4>5</vt:i4>
      </vt:variant>
      <vt:variant>
        <vt:lpwstr>https://cran.r-project.org/web/packages/dplyr/</vt:lpwstr>
      </vt:variant>
      <vt:variant>
        <vt:lpwstr/>
      </vt:variant>
      <vt:variant>
        <vt:i4>262231</vt:i4>
      </vt:variant>
      <vt:variant>
        <vt:i4>6</vt:i4>
      </vt:variant>
      <vt:variant>
        <vt:i4>0</vt:i4>
      </vt:variant>
      <vt:variant>
        <vt:i4>5</vt:i4>
      </vt:variant>
      <vt:variant>
        <vt:lpwstr>https://cran.r-project.org/web/packages/ggplot2/</vt:lpwstr>
      </vt:variant>
      <vt:variant>
        <vt:lpwstr/>
      </vt:variant>
      <vt:variant>
        <vt:i4>4128818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https://www.kaggle.com/wsj/college-salaries</vt:lpwstr>
      </vt:variant>
      <vt:variant>
        <vt:lpwstr/>
      </vt:variant>
      <vt:variant>
        <vt:i4>6881342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https://en.wikipedia.org/wiki/Power_Five_conferences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O'Neil, Shae M</dc:creator>
  <cp:keywords/>
  <dc:description/>
  <cp:lastModifiedBy>O'Neil, Shae M</cp:lastModifiedBy>
  <cp:revision>3</cp:revision>
  <dcterms:created xsi:type="dcterms:W3CDTF">2022-05-04T19:44:00Z</dcterms:created>
  <dcterms:modified xsi:type="dcterms:W3CDTF">2022-05-04T19:44:00Z</dcterms:modified>
</cp:coreProperties>
</file>