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rPr/>
      </w:pPr>
      <w:r w:rsidDel="00000000" w:rsidR="00000000" w:rsidRPr="00000000">
        <w:rPr>
          <w:rFonts w:ascii="Arial" w:cs="Arial" w:eastAsia="Arial" w:hAnsi="Arial"/>
          <w:b w:val="1"/>
          <w:bCs w:val="1"/>
          <w:color w:val="1f3864"/>
          <w:sz w:val="40"/>
          <w:szCs w:val="40"/>
          <w:rtl w:val="0"/>
        </w:rPr>
        <w:t xml:space="preserve">Md Shafaat Ali Choyon</w:t>
      </w:r>
      <w:r w:rsidDel="00000000" w:rsidR="00000000" w:rsidRPr="00000000">
        <w:rPr>
          <w:rtl w:val="0"/>
        </w:rPr>
      </w:r>
    </w:p>
    <w:p w:rsidR="00000000" w:rsidDel="00000000" w:rsidP="00000000" w:rsidRDefault="00000000" w:rsidRPr="00000000" w14:paraId="00000002">
      <w:pPr>
        <w:spacing w:after="40" w:lineRule="auto"/>
        <w:rPr/>
      </w:pPr>
      <w:r w:rsidDel="00000000" w:rsidR="00000000" w:rsidRPr="00000000">
        <w:rPr>
          <w:rFonts w:ascii="Arial" w:cs="Arial" w:eastAsia="Arial" w:hAnsi="Arial"/>
          <w:b w:val="1"/>
          <w:bCs w:val="1"/>
          <w:color w:val="2e5496"/>
          <w:sz w:val="20"/>
          <w:szCs w:val="20"/>
          <w:rtl w:val="0"/>
        </w:rPr>
        <w:t xml:space="preserve">MBA · MCIM · MPH · CHES</w:t>
      </w:r>
      <w:r w:rsidDel="00000000" w:rsidR="00000000" w:rsidRPr="00000000">
        <w:rPr>
          <w:rFonts w:ascii="Arial" w:cs="Arial" w:eastAsia="Arial" w:hAnsi="Arial"/>
          <w:b w:val="1"/>
          <w:bCs w:val="1"/>
          <w:color w:val="2e5496"/>
          <w:sz w:val="20"/>
          <w:szCs w:val="20"/>
          <w:vertAlign w:val="superscript"/>
          <w:rtl w:val="0"/>
        </w:rPr>
        <w:t xml:space="preserve">®</w:t>
      </w:r>
      <w:r w:rsidDel="00000000" w:rsidR="00000000" w:rsidRPr="00000000">
        <w:rPr>
          <w:rtl w:val="0"/>
        </w:rPr>
      </w:r>
    </w:p>
    <w:p w:rsidR="00000000" w:rsidDel="00000000" w:rsidP="00000000" w:rsidRDefault="00000000" w:rsidRPr="00000000" w14:paraId="00000003">
      <w:pPr>
        <w:spacing w:after="30" w:lineRule="auto"/>
        <w:rPr/>
      </w:pPr>
      <w:r w:rsidDel="00000000" w:rsidR="00000000" w:rsidRPr="00000000">
        <w:rPr>
          <w:rFonts w:ascii="Arial" w:cs="Arial" w:eastAsia="Arial" w:hAnsi="Arial"/>
          <w:color w:val="595959"/>
          <w:sz w:val="19"/>
          <w:szCs w:val="19"/>
          <w:rtl w:val="0"/>
        </w:rPr>
        <w:t xml:space="preserve">Growth &amp; Marketing Strategy Leader  |  Healthcare · Digital Health · Public Health</w:t>
      </w:r>
      <w:r w:rsidDel="00000000" w:rsidR="00000000" w:rsidRPr="00000000">
        <w:rPr>
          <w:rtl w:val="0"/>
        </w:rPr>
      </w:r>
    </w:p>
    <w:p w:rsidR="00000000" w:rsidDel="00000000" w:rsidP="00000000" w:rsidRDefault="00000000" w:rsidRPr="00000000" w14:paraId="00000004">
      <w:pPr>
        <w:spacing w:after="10" w:lineRule="auto"/>
        <w:rPr/>
      </w:pPr>
      <w:r w:rsidDel="00000000" w:rsidR="00000000" w:rsidRPr="00000000">
        <w:rPr>
          <w:rFonts w:ascii="Arial" w:cs="Arial" w:eastAsia="Arial" w:hAnsi="Arial"/>
          <w:color w:val="595959"/>
          <w:sz w:val="18"/>
          <w:szCs w:val="18"/>
          <w:rtl w:val="0"/>
        </w:rPr>
        <w:t xml:space="preserve">Redford, Michigan  |  shafaatalichoyon@gmail.com  |  (734) 219-1480  |  </w:t>
      </w:r>
      <w:hyperlink r:id="rId6">
        <w:r w:rsidDel="00000000" w:rsidR="00000000" w:rsidRPr="00000000">
          <w:rPr>
            <w:rFonts w:ascii="Arial" w:cs="Arial" w:eastAsia="Arial" w:hAnsi="Arial"/>
            <w:color w:val="0563c1"/>
            <w:sz w:val="18"/>
            <w:szCs w:val="18"/>
            <w:u w:val="single"/>
            <w:rtl w:val="0"/>
          </w:rPr>
          <w:t xml:space="preserve">linkedin.com/in/sacgrowthspecialist</w:t>
        </w:r>
      </w:hyperlink>
      <w:r w:rsidDel="00000000" w:rsidR="00000000" w:rsidRPr="00000000">
        <w:rPr>
          <w:rtl w:val="0"/>
        </w:rPr>
      </w:r>
    </w:p>
    <w:p w:rsidR="00000000" w:rsidDel="00000000" w:rsidP="00000000" w:rsidRDefault="00000000" w:rsidRPr="00000000" w14:paraId="00000005">
      <w:pPr>
        <w:pBdr>
          <w:bottom w:color="1f3864" w:space="1" w:sz="8" w:val="single"/>
        </w:pBdr>
        <w:spacing w:after="80" w:before="40" w:lineRule="auto"/>
        <w:rPr/>
      </w:pPr>
      <w:r w:rsidDel="00000000" w:rsidR="00000000" w:rsidRPr="00000000">
        <w:rPr>
          <w:rtl w:val="0"/>
        </w:rPr>
      </w:r>
    </w:p>
    <w:p w:rsidR="00000000" w:rsidDel="00000000" w:rsidP="00000000" w:rsidRDefault="00000000" w:rsidRPr="00000000" w14:paraId="00000006">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PROFESSIONAL PROFILE</w:t>
      </w:r>
      <w:r w:rsidDel="00000000" w:rsidR="00000000" w:rsidRPr="00000000">
        <w:rPr>
          <w:rtl w:val="0"/>
        </w:rPr>
      </w:r>
    </w:p>
    <w:p w:rsidR="00000000" w:rsidDel="00000000" w:rsidP="00000000" w:rsidRDefault="00000000" w:rsidRPr="00000000" w14:paraId="00000007">
      <w:pPr>
        <w:spacing w:after="80" w:lineRule="auto"/>
        <w:rPr/>
      </w:pPr>
      <w:r w:rsidDel="00000000" w:rsidR="00000000" w:rsidRPr="00000000">
        <w:rPr>
          <w:rFonts w:ascii="Arial" w:cs="Arial" w:eastAsia="Arial" w:hAnsi="Arial"/>
          <w:color w:val="000000"/>
          <w:sz w:val="19"/>
          <w:szCs w:val="19"/>
          <w:rtl w:val="0"/>
        </w:rPr>
        <w:t xml:space="preserve">Growth and marketing strategist with 16+ years across healthcare, fintech, e-commerce, and consumer technology — a career of both vertical growth (rising from execution to commercial leadership) and horizontal growth (expanding across industries, functions, and markets). I step into ambiguous or underbuilt situations, find the real growth constraint, and build the strategy, channels, products, and teams that move measurable results — a corporate-sales engine from zero, a 10-million-beneficiary government disbursement, a Samsung flagship launch ranked #1 globally for growth, and a primary-healthcare provider's multi-year hypergrowth. I earned an MPH in Health Education &amp; Promotion and the CHES</w:t>
      </w:r>
      <w:r w:rsidDel="00000000" w:rsidR="00000000" w:rsidRPr="00000000">
        <w:rPr>
          <w:rFonts w:ascii="Arial" w:cs="Arial" w:eastAsia="Arial" w:hAnsi="Arial"/>
          <w:color w:val="000000"/>
          <w:sz w:val="19"/>
          <w:szCs w:val="19"/>
          <w:vertAlign w:val="superscript"/>
          <w:rtl w:val="0"/>
        </w:rPr>
        <w:t xml:space="preserve">®</w:t>
      </w:r>
      <w:r w:rsidDel="00000000" w:rsidR="00000000" w:rsidRPr="00000000">
        <w:rPr>
          <w:rFonts w:ascii="Arial" w:cs="Arial" w:eastAsia="Arial" w:hAnsi="Arial"/>
          <w:color w:val="000000"/>
          <w:sz w:val="19"/>
          <w:szCs w:val="19"/>
          <w:rtl w:val="0"/>
        </w:rPr>
        <w:t xml:space="preserve"> credential to ground my business and healthcare leadership experience in behavioral science and health communication. This allows me to connect what drives organizational growth with what drives healthier behavior, so the work delivers measurable business results and meaningful health outcomes.</w:t>
      </w:r>
      <w:r w:rsidDel="00000000" w:rsidR="00000000" w:rsidRPr="00000000">
        <w:rPr>
          <w:rtl w:val="0"/>
        </w:rPr>
      </w:r>
    </w:p>
    <w:p w:rsidR="00000000" w:rsidDel="00000000" w:rsidP="00000000" w:rsidRDefault="00000000" w:rsidRPr="00000000" w14:paraId="00000008">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SIGNATURE STRATEGIC CASE STUDIES</w:t>
      </w:r>
      <w:r w:rsidDel="00000000" w:rsidR="00000000" w:rsidRPr="00000000">
        <w:rPr>
          <w:rtl w:val="0"/>
        </w:rPr>
      </w:r>
    </w:p>
    <w:p w:rsidR="00000000" w:rsidDel="00000000" w:rsidP="00000000" w:rsidRDefault="00000000" w:rsidRPr="00000000" w14:paraId="00000009">
      <w:pPr>
        <w:spacing w:after="100" w:lineRule="auto"/>
        <w:rPr/>
      </w:pPr>
      <w:r w:rsidDel="00000000" w:rsidR="00000000" w:rsidRPr="00000000">
        <w:rPr>
          <w:rFonts w:ascii="Arial Unicode MS" w:cs="Arial Unicode MS" w:eastAsia="Arial Unicode MS" w:hAnsi="Arial Unicode MS"/>
          <w:b w:val="0"/>
          <w:bCs w:val="0"/>
          <w:i w:val="1"/>
          <w:iCs w:val="1"/>
          <w:color w:val="7f7f7f"/>
          <w:sz w:val="19"/>
          <w:szCs w:val="19"/>
          <w:rtl w:val="0"/>
        </w:rPr>
        <w:t xml:space="preserve">Each case is structured as Challenge → Strategic insight → Execution → Result, to show the reasoning and problem-solving behind the outcome.</w:t>
      </w:r>
      <w:r w:rsidDel="00000000" w:rsidR="00000000" w:rsidRPr="00000000">
        <w:rPr>
          <w:rtl w:val="0"/>
        </w:rPr>
      </w:r>
    </w:p>
    <w:p w:rsidR="00000000" w:rsidDel="00000000" w:rsidP="00000000" w:rsidRDefault="00000000" w:rsidRPr="00000000" w14:paraId="0000000A">
      <w:pPr>
        <w:keepNext w:val="1"/>
        <w:spacing w:after="50" w:before="180" w:lineRule="auto"/>
        <w:rPr/>
      </w:pPr>
      <w:r w:rsidDel="00000000" w:rsidR="00000000" w:rsidRPr="00000000">
        <w:rPr>
          <w:rFonts w:ascii="Arial" w:cs="Arial" w:eastAsia="Arial" w:hAnsi="Arial"/>
          <w:b w:val="1"/>
          <w:bCs w:val="1"/>
          <w:color w:val="2e5496"/>
          <w:sz w:val="22"/>
          <w:szCs w:val="22"/>
          <w:rtl w:val="0"/>
        </w:rPr>
        <w:t xml:space="preserve">Samsung India Electronics — Product Planning (Bangladesh)</w:t>
      </w:r>
      <w:r w:rsidDel="00000000" w:rsidR="00000000" w:rsidRPr="00000000">
        <w:rPr>
          <w:rtl w:val="0"/>
        </w:rPr>
      </w:r>
    </w:p>
    <w:p w:rsidR="00000000" w:rsidDel="00000000" w:rsidP="00000000" w:rsidRDefault="00000000" w:rsidRPr="00000000" w14:paraId="0000000B">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Galaxy Note9 — engineering a record-setting flagship launch in a value-driven market</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~Tk 110,000 ($1,000+) flagship is niche in Bangladesh, where bar phones (&lt;$100) and Tk 30–50k ($300–500) mid-range handsets dominate. The prior year's Note8 sold only ~1,200 units in its 21-day preorder, almost entirely from retail, with no online channel — yet corporate targets demanded year-on-year growth (India, for scale, sold ~60,000 Note9 units in its preorder).</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The binding constraints were price perception and a narrow channel, not awareness. The play was to re-engineer affordability while protecting margin, and to multiply the number of distinct ways a customer could say yes.</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Negotiated a bKash cashback on the Tk 10,000 booking (~Tk 600 / Tk 400 split with co-marketing); injected Tk 5,000/device from the market development fund into landed cost to hold the preorder price at the prior-year ~Tk 95,000; stacked cardholder zero-EMI (6/12/24/36 months) with EBL, City Bank Amex, BRAC Bank and Standard Chartered; broke a non-transparent telco exclusivity by adding Robi as a competitive co-partner (which pushed Grameenphone to ~350 units vs. ~200); onboarded a first-ever e-commerce partner (Pickaboo) for a 100-unit lift; fixed grey-market (parallel-import) leakage with a still-profitable employee/distributor price shipped direct from the national-distributor warehouse — cutting out regional distributors and retailers (the model later used for online-specific pricing), which lifted employee + national-distributor preorder sales from 32 units (Note8) to 242 (Note9); added warranty and free first-year screen replacement (modeled on a 4-year breakage simulation); ran a low-cost JBL Flip 4 gift draw; and retargeted preorder drop-offs.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Hit the 1,500-unit target six days before the preorder closed, then deliberately let the device go out of stock — selling ~1,858 units over the 21-day preorder (vs. ~1,200 for Note8, 1.54× YoY) and staying off-shelf for ~3 months as a scarcity play to maximize sell-through before the Note10 launch. Growth rate recognized No. 1 globally. Still Samsung Bangladesh's benchmark preorder campaign as of 2026; recognized as Q3'18 Business Performer, IM Division.</w:t>
      </w:r>
    </w:p>
    <w:p w:rsidR="00000000" w:rsidDel="00000000" w:rsidP="00000000" w:rsidRDefault="00000000" w:rsidRPr="00000000" w14:paraId="00000010">
      <w:pPr>
        <w:spacing w:after="140" w:before="50" w:lineRule="auto"/>
        <w:rPr/>
      </w:pPr>
      <w:r w:rsidDel="00000000" w:rsidR="00000000" w:rsidRPr="00000000">
        <w:rPr/>
        <w:drawing>
          <wp:inline distB="0" distT="0" distL="0" distR="0">
            <wp:extent cx="6172200" cy="695325"/>
            <wp:effectExtent b="0" l="0" r="0" t="0"/>
            <wp:docPr descr="Key results summary" id="1" name="image6.png"/>
            <a:graphic>
              <a:graphicData uri="http://schemas.openxmlformats.org/drawingml/2006/picture">
                <pic:pic>
                  <pic:nvPicPr>
                    <pic:cNvPr descr="Key results summary" id="0" name="image6.png"/>
                    <pic:cNvPicPr preferRelativeResize="0"/>
                  </pic:nvPicPr>
                  <pic:blipFill>
                    <a:blip r:embed="rId7"/>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Galaxy J2 4G &amp; J2 Core — winning the mass-market entry segment</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Convert feature-phone and low-end-Android users in the largest, most price-sensitive pool, where local brands beat Samsung on raw RAM/camera specs.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Compete on trust and a single clear hook at a psychological price point, not a spec war — and make the retailer the conversion lever.</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Positioned at the Tk 8,000 (~$80) price point with one-line messaging ('4G-ready Samsung with Super AMOLED under Tk 8,000'); leaned on genuine warranty/service-center trust, Ultra Data Saving (up to 50% data), retailer 'default safe recommendation' conversion, and controlled SKU focus so J2 became the hero model retailers pushed daily.</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~2,600 units/day run-rate, reflecting strong product-market fit in the value segment — which helped ramp up volume share in the market.</w:t>
      </w:r>
    </w:p>
    <w:p w:rsidR="00000000" w:rsidDel="00000000" w:rsidP="00000000" w:rsidRDefault="00000000" w:rsidRPr="00000000" w14:paraId="00000016">
      <w:pPr>
        <w:spacing w:after="140" w:before="50" w:lineRule="auto"/>
        <w:rPr/>
      </w:pPr>
      <w:r w:rsidDel="00000000" w:rsidR="00000000" w:rsidRPr="00000000">
        <w:rPr/>
        <w:drawing>
          <wp:inline distB="0" distT="0" distL="0" distR="0">
            <wp:extent cx="6172200" cy="695325"/>
            <wp:effectExtent b="0" l="0" r="0" t="0"/>
            <wp:docPr descr="Key results summary" id="3" name="image15.png"/>
            <a:graphic>
              <a:graphicData uri="http://schemas.openxmlformats.org/drawingml/2006/picture">
                <pic:pic>
                  <pic:nvPicPr>
                    <pic:cNvPr descr="Key results summary" id="0" name="image15.png"/>
                    <pic:cNvPicPr preferRelativeResize="0"/>
                  </pic:nvPicPr>
                  <pic:blipFill>
                    <a:blip r:embed="rId8"/>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New channels &amp; market-first differentiation</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Samsung had no owned online sales footprint and needed differentiation beyond price in a commoditized market.</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Partnered with national distributor Fair Distribution Ltd to design and launch an e-commerce marketplace (phones + home appliances) and online-specific SKUs across every major platform; built a market-first loyalty program with Samsung's R&amp;D institute (SRBD) — points redeemable toward discounted devices; and created a monsoon 'water-damage' repair campaign — alongside screen-replacement for breakage — built off a multi-year water-damage and breakage simulation, redirecting spend from ATL to a novel offer no competitor ran.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Established an entirely new commercial channel and lifted online + home-appliance pull-through; seasonal sales boost across entry, mid and high segments.</w:t>
      </w:r>
    </w:p>
    <w:p w:rsidR="00000000" w:rsidDel="00000000" w:rsidP="00000000" w:rsidRDefault="00000000" w:rsidRPr="00000000" w14:paraId="0000001B">
      <w:pPr>
        <w:spacing w:after="140" w:before="50" w:lineRule="auto"/>
        <w:rPr/>
      </w:pPr>
      <w:r w:rsidDel="00000000" w:rsidR="00000000" w:rsidRPr="00000000">
        <w:rPr/>
        <w:drawing>
          <wp:inline distB="0" distT="0" distL="0" distR="0">
            <wp:extent cx="6172200" cy="695325"/>
            <wp:effectExtent b="0" l="0" r="0" t="0"/>
            <wp:docPr descr="Key results summary" id="2" name="image3.png"/>
            <a:graphic>
              <a:graphicData uri="http://schemas.openxmlformats.org/drawingml/2006/picture">
                <pic:pic>
                  <pic:nvPicPr>
                    <pic:cNvPr descr="Key results summary" id="0" name="image3.png"/>
                    <pic:cNvPicPr preferRelativeResize="0"/>
                  </pic:nvPicPr>
                  <pic:blipFill>
                    <a:blip r:embed="rId9"/>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1"/>
        <w:spacing w:after="50" w:before="180" w:lineRule="auto"/>
        <w:rPr/>
      </w:pPr>
      <w:r w:rsidDel="00000000" w:rsidR="00000000" w:rsidRPr="00000000">
        <w:rPr>
          <w:rFonts w:ascii="Arial" w:cs="Arial" w:eastAsia="Arial" w:hAnsi="Arial"/>
          <w:b w:val="1"/>
          <w:bCs w:val="1"/>
          <w:color w:val="2e5496"/>
          <w:sz w:val="22"/>
          <w:szCs w:val="22"/>
          <w:rtl w:val="0"/>
        </w:rPr>
        <w:t xml:space="preserve">Praava Health — Head of Marketing &amp; Corporate Sales</w:t>
      </w:r>
      <w:r w:rsidDel="00000000" w:rsidR="00000000" w:rsidRPr="00000000">
        <w:rPr>
          <w:rtl w:val="0"/>
        </w:rPr>
      </w:r>
    </w:p>
    <w:p w:rsidR="00000000" w:rsidDel="00000000" w:rsidP="00000000" w:rsidRDefault="00000000" w:rsidRPr="00000000" w14:paraId="0000001D">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Directing a healthcare startup through multi-year hypergrowth</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single-hub brand over-associated with COVID testing needed to grow its expensive, hard-to-scale non-COVID core, while the consumer portfolio carried 83% of revenue.</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Durable growth comes from three compounding engines, not campaigns: new products capturing latent demand, decisions driven by patient data, and automated growth loops so revenue recurs without restarting from zero.</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Launched market-first products via fast GTMs (Ghore Lab home diagnostics, Vitamin-D, traveler packages); kept BI/Data inside marketing and ran every decision on ARPU, CLV, cohorting and retention (65–70% of weekly meetings on data); and built 100+ products, automated reminders, re-outreach and ad loops for recurring revenue.</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Core-business growth of 40% (2021), 20% (2022), 87% (2023, partial) — ~45% overall and ~57% B2C CAGR (2021–2023); during the pandemic Praava served ~2% of the national and ~8% of Dhaka's population.</w:t>
      </w:r>
    </w:p>
    <w:p w:rsidR="00000000" w:rsidDel="00000000" w:rsidP="00000000" w:rsidRDefault="00000000" w:rsidRPr="00000000" w14:paraId="00000022">
      <w:pPr>
        <w:spacing w:after="140" w:before="50" w:lineRule="auto"/>
        <w:rPr/>
      </w:pPr>
      <w:r w:rsidDel="00000000" w:rsidR="00000000" w:rsidRPr="00000000">
        <w:rPr/>
        <w:drawing>
          <wp:inline distB="0" distT="0" distL="0" distR="0">
            <wp:extent cx="6172200" cy="695325"/>
            <wp:effectExtent b="0" l="0" r="0" t="0"/>
            <wp:docPr descr="Key results summary" id="5" name="image9.png"/>
            <a:graphic>
              <a:graphicData uri="http://schemas.openxmlformats.org/drawingml/2006/picture">
                <pic:pic>
                  <pic:nvPicPr>
                    <pic:cNvPr descr="Key results summary" id="0" name="image9.png"/>
                    <pic:cNvPicPr preferRelativeResize="0"/>
                  </pic:nvPicPr>
                  <pic:blipFill>
                    <a:blip r:embed="rId10"/>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Unicode MS" w:cs="Arial Unicode MS" w:eastAsia="Arial Unicode MS" w:hAnsi="Arial Unicode MS"/>
          <w:b w:val="1"/>
          <w:bCs w:val="1"/>
          <w:color w:val="000000"/>
          <w:sz w:val="21"/>
          <w:szCs w:val="21"/>
          <w:rtl w:val="0"/>
        </w:rPr>
        <w:t xml:space="preserve">Building the corporate-sales engine from zero (342 → ~1,400 clients)</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No corporate-sales function existed; most target employers lacked employee health insurance, and healthcare was not sold or serviced like a managed B2B category.</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Borrow the telco Key Account Manager playbook — treat each corporate as a managed account with custom bundles and one-stop service.</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Hired bilingual account managers; offered insured and uninsured employers on-site health-check activations, special corporate pricing, and one-stop employee assistance with per-contract custom bundles; professionalized the full commercial structure (corporate sales, product &amp; product marketing, BI/Data, brand, PR/content, design).</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Corporate clients grew 342 → ~1,400 and corporate health programs 3.1×, establishing that healthcare could be sold and serviced like the telecom industry.</w:t>
      </w:r>
    </w:p>
    <w:p w:rsidR="00000000" w:rsidDel="00000000" w:rsidP="00000000" w:rsidRDefault="00000000" w:rsidRPr="00000000" w14:paraId="00000028">
      <w:pPr>
        <w:spacing w:after="140" w:before="50" w:lineRule="auto"/>
        <w:rPr/>
      </w:pPr>
      <w:r w:rsidDel="00000000" w:rsidR="00000000" w:rsidRPr="00000000">
        <w:rPr/>
        <w:drawing>
          <wp:inline distB="0" distT="0" distL="0" distR="0">
            <wp:extent cx="6172200" cy="695325"/>
            <wp:effectExtent b="0" l="0" r="0" t="0"/>
            <wp:docPr descr="Key results summary" id="4" name="image2.png"/>
            <a:graphic>
              <a:graphicData uri="http://schemas.openxmlformats.org/drawingml/2006/picture">
                <pic:pic>
                  <pic:nvPicPr>
                    <pic:cNvPr descr="Key results summary" id="0" name="image2.png"/>
                    <pic:cNvPicPr preferRelativeResize="0"/>
                  </pic:nvPicPr>
                  <pic:blipFill>
                    <a:blip r:embed="rId11"/>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Population-scale access via the Lifebuoy partnership</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Extend quality primary care far beyond a single Dhaka hub, affordably, to people who rarely see a doctor.</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Embed the access point inside a product people already buy daily, then build a closed clinical loop behind it.</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Printed Praava's health hotline on the packaging of Lifebuoy — the market-leading 'health soap' — nationwide; doctors handled ~3,000 calls/day giving basic prescriptions, referred complex cases to the nearest government facility, routed lab needs to nationwide sample-collection booths (reports by email/booth pickup with doctor callbacks); amplified via Lifebuoy satellite-TV TVCs; mapped district-wise illness patterns and shared the summary with the Director General of Health Services (DGHS).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Population-scale teleconsultation reach, strong earned-media PR, and a public-health data contribution to government planning.</w:t>
      </w:r>
    </w:p>
    <w:p w:rsidR="00000000" w:rsidDel="00000000" w:rsidP="00000000" w:rsidRDefault="00000000" w:rsidRPr="00000000" w14:paraId="0000002E">
      <w:pPr>
        <w:spacing w:after="140" w:before="50" w:lineRule="auto"/>
        <w:rPr/>
      </w:pPr>
      <w:r w:rsidDel="00000000" w:rsidR="00000000" w:rsidRPr="00000000">
        <w:rPr/>
        <w:drawing>
          <wp:inline distB="0" distT="0" distL="0" distR="0">
            <wp:extent cx="6172200" cy="695325"/>
            <wp:effectExtent b="0" l="0" r="0" t="0"/>
            <wp:docPr descr="Key results summary" id="7" name="image4.png"/>
            <a:graphic>
              <a:graphicData uri="http://schemas.openxmlformats.org/drawingml/2006/picture">
                <pic:pic>
                  <pic:nvPicPr>
                    <pic:cNvPr descr="Key results summary" id="0" name="image4.png"/>
                    <pic:cNvPicPr preferRelativeResize="0"/>
                  </pic:nvPicPr>
                  <pic:blipFill>
                    <a:blip r:embed="rId12"/>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COVID service innovation — door-to-door and 6-hour traveler testing</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During lockdowns patients couldn't travel; US-bound travelers needed certified tests on tight pre-departure timelines.</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Built a nationwide door-to-door sample-collection operation (24-hour reporting + immediate video consultation); created a first-in-Bangladesh traveler-testing protocol — dedicated lab batch, four daily slots, results in 6 hours, auto-updated to the government travel portal.</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Captured essentially all Bangladesh-to-US travelers; a one-of-a-kind capability in the market.</w:t>
      </w:r>
    </w:p>
    <w:p w:rsidR="00000000" w:rsidDel="00000000" w:rsidP="00000000" w:rsidRDefault="00000000" w:rsidRPr="00000000" w14:paraId="00000033">
      <w:pPr>
        <w:spacing w:after="140" w:before="50" w:lineRule="auto"/>
        <w:rPr/>
      </w:pPr>
      <w:r w:rsidDel="00000000" w:rsidR="00000000" w:rsidRPr="00000000">
        <w:rPr/>
        <w:drawing>
          <wp:inline distB="0" distT="0" distL="0" distR="0">
            <wp:extent cx="6172200" cy="695325"/>
            <wp:effectExtent b="0" l="0" r="0" t="0"/>
            <wp:docPr descr="Key results summary" id="6" name="image1.png"/>
            <a:graphic>
              <a:graphicData uri="http://schemas.openxmlformats.org/drawingml/2006/picture">
                <pic:pic>
                  <pic:nvPicPr>
                    <pic:cNvPr descr="Key results summary" id="0" name="image1.png"/>
                    <pic:cNvPicPr preferRelativeResize="0"/>
                  </pic:nvPicPr>
                  <pic:blipFill>
                    <a:blip r:embed="rId13"/>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Ethical, affordable diagnostics — solving the kickback problem</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Customary ~40–50% physician kickbacks on investigations inflate costs for a largely uninsured population.</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If patients buy the right tests proactively, the kickback dynamic disappears and care becomes affordable — without conflicting with doctors.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Co-designed organ-targeted diagnostic packages with the medical team (e.g., kidney panels) plus symptom-education campaigns guiding patients to the right tests at slashed prices with free consultation bundled.</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Affordable proactive self-screening that avoided kickbacks and grew lab revenue (profit margin rose from ~30% to ~50%), and was later copied by competitors.</w:t>
      </w:r>
    </w:p>
    <w:p w:rsidR="00000000" w:rsidDel="00000000" w:rsidP="00000000" w:rsidRDefault="00000000" w:rsidRPr="00000000" w14:paraId="00000039">
      <w:pPr>
        <w:spacing w:after="140" w:before="50" w:lineRule="auto"/>
        <w:rPr/>
      </w:pPr>
      <w:r w:rsidDel="00000000" w:rsidR="00000000" w:rsidRPr="00000000">
        <w:rPr/>
        <w:drawing>
          <wp:inline distB="0" distT="0" distL="0" distR="0">
            <wp:extent cx="6172200" cy="695325"/>
            <wp:effectExtent b="0" l="0" r="0" t="0"/>
            <wp:docPr descr="Key results summary" id="9" name="image16.png"/>
            <a:graphic>
              <a:graphicData uri="http://schemas.openxmlformats.org/drawingml/2006/picture">
                <pic:pic>
                  <pic:nvPicPr>
                    <pic:cNvPr descr="Key results summary" id="0" name="image16.png"/>
                    <pic:cNvPicPr preferRelativeResize="0"/>
                  </pic:nvPicPr>
                  <pic:blipFill>
                    <a:blip r:embed="rId14"/>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2022–23 winter brand campaign — repositioning the brand and driving footfall</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Shift perception from 'COVID testing center' to 'facilitator of quality healthcare' while tying brand spend to revenue.</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64% of a patient's lifetime value is captured in the first three visits — so the campaign had to acquire first visits, not just impressions.</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Ran a nationwide low-ticket Resident Physician video consult at Tk 275 (~$3), down from Tk 1,000 (~$10), via Lifebuoy; citywide door-to-door lab/medicine activation, a home blood-sample-collection network ('phlebo-web'), and Free Consultation Days, across all advertising channels (ATL/BTL/digital/PR) on a ~Tk 11.6M (~$113K) budget; authored the 'Praava Health Reimagined' market-sizing (TAM/SAM/SOM) strategy toward a ~Tk 1.03B revenue model. Wrote TVC stories and theme songs that were produced and aired.</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~+190% hub footfall on Free Consultation Days and a measurable top-of-funnel lift; the Beauty &amp; Wellness line grew 68% YoY and lab revenue 34% YoY across the tenure.</w:t>
      </w:r>
    </w:p>
    <w:p w:rsidR="00000000" w:rsidDel="00000000" w:rsidP="00000000" w:rsidRDefault="00000000" w:rsidRPr="00000000" w14:paraId="0000003F">
      <w:pPr>
        <w:spacing w:after="140" w:before="50" w:lineRule="auto"/>
        <w:rPr/>
      </w:pPr>
      <w:r w:rsidDel="00000000" w:rsidR="00000000" w:rsidRPr="00000000">
        <w:rPr/>
        <w:drawing>
          <wp:inline distB="0" distT="0" distL="0" distR="0">
            <wp:extent cx="6172200" cy="695325"/>
            <wp:effectExtent b="0" l="0" r="0" t="0"/>
            <wp:docPr descr="Key results summary" id="8" name="image7.png"/>
            <a:graphic>
              <a:graphicData uri="http://schemas.openxmlformats.org/drawingml/2006/picture">
                <pic:pic>
                  <pic:nvPicPr>
                    <pic:cNvPr descr="Key results summary" id="0" name="image7.png"/>
                    <pic:cNvPicPr preferRelativeResize="0"/>
                  </pic:nvPicPr>
                  <pic:blipFill>
                    <a:blip r:embed="rId15"/>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1"/>
        <w:spacing w:after="50" w:before="180" w:lineRule="auto"/>
        <w:rPr/>
      </w:pPr>
      <w:r w:rsidDel="00000000" w:rsidR="00000000" w:rsidRPr="00000000">
        <w:rPr>
          <w:rFonts w:ascii="Arial" w:cs="Arial" w:eastAsia="Arial" w:hAnsi="Arial"/>
          <w:b w:val="1"/>
          <w:bCs w:val="1"/>
          <w:color w:val="2e5496"/>
          <w:sz w:val="22"/>
          <w:szCs w:val="22"/>
          <w:rtl w:val="0"/>
        </w:rPr>
        <w:t xml:space="preserve">SureCash — Marketing Manager (Mobile Financial Services)</w:t>
      </w:r>
      <w:r w:rsidDel="00000000" w:rsidR="00000000" w:rsidRPr="00000000">
        <w:rPr>
          <w:rtl w:val="0"/>
        </w:rPr>
      </w:r>
    </w:p>
    <w:p w:rsidR="00000000" w:rsidDel="00000000" w:rsidP="00000000" w:rsidRDefault="00000000" w:rsidRPr="00000000" w14:paraId="00000041">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Delivering a government stipend to 10 million beneficiaries</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Run brand, trade and PR for the country's largest-ever government-to-person (G2P) stipend disbursement — logistically frictional and trust-sensitive across a rural, low-literacy base — on a multi-bank platform that made branding far harder than single-bank rivals.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At this scale, adoption is an access-and-trust problem, not an awareness problem: meet beneficiaries exactly where cash-out friction and information gaps occur.</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Mapped retailer cash-out points against beneficiary residence data to optimize point-of-sale materials (POSM) and promotional spend; partnered with a telco for automated voice-call (IVR) messages explaining disbursement and cash-out steps; used rural mosque activations for trusted local reach; built the in-house creative team and brand book from scratch; merged the digital team with the call center for real-time response.</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Enabled a frictionless disbursement serving ~10 million beneficiaries; SureCash became the fastest-responding MFS brand on social media; won the Banking Fair Award of Excellence; brand awareness +~20%, engagement +~15%.</w:t>
      </w:r>
    </w:p>
    <w:p w:rsidR="00000000" w:rsidDel="00000000" w:rsidP="00000000" w:rsidRDefault="00000000" w:rsidRPr="00000000" w14:paraId="00000046">
      <w:pPr>
        <w:spacing w:after="140" w:before="50" w:lineRule="auto"/>
        <w:rPr/>
      </w:pPr>
      <w:r w:rsidDel="00000000" w:rsidR="00000000" w:rsidRPr="00000000">
        <w:rPr/>
        <w:drawing>
          <wp:inline distB="0" distT="0" distL="0" distR="0">
            <wp:extent cx="6172200" cy="695325"/>
            <wp:effectExtent b="0" l="0" r="0" t="0"/>
            <wp:docPr descr="Key results summary" id="12" name="image5.png"/>
            <a:graphic>
              <a:graphicData uri="http://schemas.openxmlformats.org/drawingml/2006/picture">
                <pic:pic>
                  <pic:nvPicPr>
                    <pic:cNvPr descr="Key results summary" id="0" name="image5.png"/>
                    <pic:cNvPicPr preferRelativeResize="0"/>
                  </pic:nvPicPr>
                  <pic:blipFill>
                    <a:blip r:embed="rId16"/>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1"/>
        <w:spacing w:after="50" w:before="180" w:lineRule="auto"/>
        <w:rPr/>
      </w:pPr>
      <w:r w:rsidDel="00000000" w:rsidR="00000000" w:rsidRPr="00000000">
        <w:rPr>
          <w:rFonts w:ascii="Arial" w:cs="Arial" w:eastAsia="Arial" w:hAnsi="Arial"/>
          <w:b w:val="1"/>
          <w:bCs w:val="1"/>
          <w:color w:val="2e5496"/>
          <w:sz w:val="22"/>
          <w:szCs w:val="22"/>
          <w:rtl w:val="0"/>
        </w:rPr>
        <w:t xml:space="preserve">Ekhanei.com — Brand &amp; Vehicle Category Lead</w:t>
      </w:r>
      <w:r w:rsidDel="00000000" w:rsidR="00000000" w:rsidRPr="00000000">
        <w:rPr>
          <w:rtl w:val="0"/>
        </w:rPr>
      </w:r>
    </w:p>
    <w:p w:rsidR="00000000" w:rsidDel="00000000" w:rsidP="00000000" w:rsidRDefault="00000000" w:rsidRPr="00000000" w14:paraId="00000048">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Building the nation's #1 motorbike category from zero ('Project Laser Beam')</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Selected to lead the vehicle category for a marketplace trailing the national leader, where second-hand bike buyers and sellers distrusted online transactions.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classifieds category is won on supply quality and trust, not ad spend — so it needs offline acquisition muscle plus a real-time quality-control loop.</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Led a ~60-person nationwide team; ran BTL activations at malls, parks and office hubs for aggressive ad acquisition; deployed territory managers with a live audit-call reconciliation loop tying every listing back to an accountable owner; added a semi-pro seller key-account team; wrote TVC stories that were produced and aired.</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Overtook the national leader in motorbikes within 2.5 months and built the country's largest motorbike-ad inventory; 25% category revenue and 15% market-share growth.</w:t>
      </w:r>
    </w:p>
    <w:p w:rsidR="00000000" w:rsidDel="00000000" w:rsidP="00000000" w:rsidRDefault="00000000" w:rsidRPr="00000000" w14:paraId="0000004D">
      <w:pPr>
        <w:spacing w:after="140" w:before="50" w:lineRule="auto"/>
        <w:rPr/>
      </w:pPr>
      <w:r w:rsidDel="00000000" w:rsidR="00000000" w:rsidRPr="00000000">
        <w:rPr/>
        <w:drawing>
          <wp:inline distB="0" distT="0" distL="0" distR="0">
            <wp:extent cx="6172200" cy="695325"/>
            <wp:effectExtent b="0" l="0" r="0" t="0"/>
            <wp:docPr descr="Key results summary" id="10" name="image14.png"/>
            <a:graphic>
              <a:graphicData uri="http://schemas.openxmlformats.org/drawingml/2006/picture">
                <pic:pic>
                  <pic:nvPicPr>
                    <pic:cNvPr descr="Key results summary" id="0" name="image14.png"/>
                    <pic:cNvPicPr preferRelativeResize="0"/>
                  </pic:nvPicPr>
                  <pic:blipFill>
                    <a:blip r:embed="rId17"/>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'Bike Bazaar' and a CPG-style offline trade play — trust by design</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Counter deep buyer distrust in second-hand bikes and create an offline presence with no trade budget to speak of.</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Conceived 'Bike Bazaar,' Bangladesh's first branded second-hand-motorcycle marketplace event uniting institutional and individual sellers in a secure venue with free mechanic evaluation and a vehicle-registration verification booth by the Bangladesh Road Transport Corporation (BRTC); established offline trade by supplying bike-shop partners with Ekhanei-branded light-boxes in exchange for covering 30% of their electricity bills.</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30% inventory liquidation in a single day; lasting platform lift (50% user and 40% transaction-volume growth over six months); partner-shop sales +26% in 90 days.</w:t>
      </w:r>
    </w:p>
    <w:p w:rsidR="00000000" w:rsidDel="00000000" w:rsidP="00000000" w:rsidRDefault="00000000" w:rsidRPr="00000000" w14:paraId="00000052">
      <w:pPr>
        <w:spacing w:after="140" w:before="50" w:lineRule="auto"/>
        <w:rPr/>
      </w:pPr>
      <w:r w:rsidDel="00000000" w:rsidR="00000000" w:rsidRPr="00000000">
        <w:rPr/>
        <w:drawing>
          <wp:inline distB="0" distT="0" distL="0" distR="0">
            <wp:extent cx="6172200" cy="695325"/>
            <wp:effectExtent b="0" l="0" r="0" t="0"/>
            <wp:docPr descr="Key results summary" id="11" name="image11.png"/>
            <a:graphic>
              <a:graphicData uri="http://schemas.openxmlformats.org/drawingml/2006/picture">
                <pic:pic>
                  <pic:nvPicPr>
                    <pic:cNvPr descr="Key results summary" id="0" name="image11.png"/>
                    <pic:cNvPicPr preferRelativeResize="0"/>
                  </pic:nvPicPr>
                  <pic:blipFill>
                    <a:blip r:embed="rId18"/>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keepNext w:val="1"/>
        <w:spacing w:after="50" w:before="180" w:lineRule="auto"/>
        <w:rPr/>
      </w:pPr>
      <w:r w:rsidDel="00000000" w:rsidR="00000000" w:rsidRPr="00000000">
        <w:rPr>
          <w:rFonts w:ascii="Arial" w:cs="Arial" w:eastAsia="Arial" w:hAnsi="Arial"/>
          <w:b w:val="1"/>
          <w:bCs w:val="1"/>
          <w:color w:val="2e5496"/>
          <w:sz w:val="22"/>
          <w:szCs w:val="22"/>
          <w:rtl w:val="0"/>
        </w:rPr>
        <w:t xml:space="preserve">ACCA Bangladesh — Senior Manager, Employer &amp; Member Affairs</w:t>
      </w:r>
      <w:r w:rsidDel="00000000" w:rsidR="00000000" w:rsidRPr="00000000">
        <w:rPr>
          <w:rtl w:val="0"/>
        </w:rPr>
      </w:r>
    </w:p>
    <w:p w:rsidR="00000000" w:rsidDel="00000000" w:rsidP="00000000" w:rsidRDefault="00000000" w:rsidRPr="00000000" w14:paraId="00000054">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Designing a member-growth ecosystem, not a calendar of events</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Grow members, affiliates and approved employers against hard targets in a market with confidence, soft-skill and brand-recognition gaps.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Strategic insight: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Map each stakeholder pain point to a recurring, KPI-linked activity portfolio with a multi-year roadmap so growth compounds rather than depending on one-off events.</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Designed and owned the Employer &amp; Member Affairs operating model — 15+ activity types (round tables, CPD, networking, skill workshops, job mapping, PI sharing, MAC initiatives) each tied to KPIs and budget on a 19/20→24/25 roadmap; built a structured CPD slate (Data Analytics, Machine Learning, Excel, Tax as a Force for Good); initiated partnerships with BSHRM, CFO Forum, ICAB, ICMAB and FRC.</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100% of all 2020–21 targets: new-member conversion 378→435 (+15.1%), member retention 98.2%, affiliate retention +2.4%; doubled big-corporate approved employers (8→16) — large MNCs and major local organizations with sizable finance teams.</w:t>
      </w:r>
    </w:p>
    <w:p w:rsidR="00000000" w:rsidDel="00000000" w:rsidP="00000000" w:rsidRDefault="00000000" w:rsidRPr="00000000" w14:paraId="00000059">
      <w:pPr>
        <w:spacing w:after="140" w:before="50" w:lineRule="auto"/>
        <w:rPr/>
      </w:pPr>
      <w:r w:rsidDel="00000000" w:rsidR="00000000" w:rsidRPr="00000000">
        <w:rPr/>
        <w:drawing>
          <wp:inline distB="0" distT="0" distL="0" distR="0">
            <wp:extent cx="6172200" cy="695325"/>
            <wp:effectExtent b="0" l="0" r="0" t="0"/>
            <wp:docPr descr="Key results summary" id="13" name="image10.png"/>
            <a:graphic>
              <a:graphicData uri="http://schemas.openxmlformats.org/drawingml/2006/picture">
                <pic:pic>
                  <pic:nvPicPr>
                    <pic:cNvPr descr="Key results summary" id="0" name="image10.png"/>
                    <pic:cNvPicPr preferRelativeResize="0"/>
                  </pic:nvPicPr>
                  <pic:blipFill>
                    <a:blip r:embed="rId19"/>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Flagship thought leadership — 'Business Partner of the Future' &amp; New Member Ceremony</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Build ACCA's institutional stature and certificate recognition among the finance C-suite and government.</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Planned (with ACCA's UK R&amp;D) and executed the 'Business Partner of the Future' round table with PwC and The Daily Star — marking the launch of the joint ACCA–PwC report — and contributed on the panel alongside CFOs/finance heads of Unilever, Grameenphone, GSK, Pran-RFL, Nielsen, LankaBangla and the Comptroller &amp; Auditor General; ran the ~400-person flagship New Member Ceremony (CAG as Chief Guest) and delivered the 'Smarter Cities, Simpler Cities' professional-insight keynote; designed the 'ACCA Next Leader' talk show with Channel i.</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Elevated brand stature and earned full-scale national media coverage; positioned ACCA among the finance establishment.</w:t>
      </w:r>
    </w:p>
    <w:p w:rsidR="00000000" w:rsidDel="00000000" w:rsidP="00000000" w:rsidRDefault="00000000" w:rsidRPr="00000000" w14:paraId="0000005E">
      <w:pPr>
        <w:spacing w:after="140" w:before="50" w:lineRule="auto"/>
        <w:rPr/>
      </w:pPr>
      <w:r w:rsidDel="00000000" w:rsidR="00000000" w:rsidRPr="00000000">
        <w:rPr/>
        <w:drawing>
          <wp:inline distB="0" distT="0" distL="0" distR="0">
            <wp:extent cx="6172200" cy="695325"/>
            <wp:effectExtent b="0" l="0" r="0" t="0"/>
            <wp:docPr descr="Key results summary" id="14" name="image8.png"/>
            <a:graphic>
              <a:graphicData uri="http://schemas.openxmlformats.org/drawingml/2006/picture">
                <pic:pic>
                  <pic:nvPicPr>
                    <pic:cNvPr descr="Key results summary" id="0" name="image8.png"/>
                    <pic:cNvPicPr preferRelativeResize="0"/>
                  </pic:nvPicPr>
                  <pic:blipFill>
                    <a:blip r:embed="rId20"/>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keepNext w:val="1"/>
        <w:spacing w:after="50" w:before="180" w:lineRule="auto"/>
        <w:rPr/>
      </w:pPr>
      <w:r w:rsidDel="00000000" w:rsidR="00000000" w:rsidRPr="00000000">
        <w:rPr>
          <w:rFonts w:ascii="Arial" w:cs="Arial" w:eastAsia="Arial" w:hAnsi="Arial"/>
          <w:b w:val="1"/>
          <w:bCs w:val="1"/>
          <w:color w:val="2e5496"/>
          <w:sz w:val="22"/>
          <w:szCs w:val="22"/>
          <w:rtl w:val="0"/>
        </w:rPr>
        <w:t xml:space="preserve">Asiatic (Bangladesh JWT) / Asiatic Digital — Strategic Planning</w:t>
      </w:r>
      <w:r w:rsidDel="00000000" w:rsidR="00000000" w:rsidRPr="00000000">
        <w:rPr>
          <w:rtl w:val="0"/>
        </w:rPr>
      </w:r>
    </w:p>
    <w:p w:rsidR="00000000" w:rsidDel="00000000" w:rsidP="00000000" w:rsidRDefault="00000000" w:rsidRPr="00000000" w14:paraId="00000060">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Lux Channel i Superstar 2014 — planning + executing a flagship branded-entertainment platform</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Deliver Lux Bangladesh's flagship platform — one of the country's highest-budgeted and (to 2014) biggest-ever beauty-search shows, tied to Lux's 50-year celebration.</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Led both planning and execution of a 12-episode nationally televised reality format with a live prime-time grand finale at the Bangabandhu International Conference Center (BICC), ~10,000 nationwide applicants, online voting and major celebrity involvement; planned each episode's strategy and look, supervised shoots, secured client approvals, ensured on-time broadcast, owned the budget cap, and coordinated continuously with media-buying agencies, PR agencies and the client.</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 flagship, nationally televised platform with national press (Daily Star, Dhaka Tribune, Prothom Alo) and long-tail digital exposure; the work earned a promotion to lead a wing of the new Asiatic Digital venture.</w:t>
      </w:r>
    </w:p>
    <w:p w:rsidR="00000000" w:rsidDel="00000000" w:rsidP="00000000" w:rsidRDefault="00000000" w:rsidRPr="00000000" w14:paraId="00000064">
      <w:pPr>
        <w:spacing w:after="140" w:before="50" w:lineRule="auto"/>
        <w:rPr/>
      </w:pPr>
      <w:r w:rsidDel="00000000" w:rsidR="00000000" w:rsidRPr="00000000">
        <w:rPr/>
        <w:drawing>
          <wp:inline distB="0" distT="0" distL="0" distR="0">
            <wp:extent cx="6172200" cy="695325"/>
            <wp:effectExtent b="0" l="0" r="0" t="0"/>
            <wp:docPr descr="Key results summary" id="15" name="image12.png"/>
            <a:graphic>
              <a:graphicData uri="http://schemas.openxmlformats.org/drawingml/2006/picture">
                <pic:pic>
                  <pic:nvPicPr>
                    <pic:cNvPr descr="Key results summary" id="0" name="image12.png"/>
                    <pic:cNvPicPr preferRelativeResize="0"/>
                  </pic:nvPicPr>
                  <pic:blipFill>
                    <a:blip r:embed="rId21"/>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keepNext w:val="1"/>
        <w:spacing w:after="50" w:before="150" w:lineRule="auto"/>
        <w:rPr/>
      </w:pPr>
      <w:r w:rsidDel="00000000" w:rsidR="00000000" w:rsidRPr="00000000">
        <w:rPr>
          <w:rFonts w:ascii="Arial" w:cs="Arial" w:eastAsia="Arial" w:hAnsi="Arial"/>
          <w:b w:val="1"/>
          <w:bCs w:val="1"/>
          <w:color w:val="2e5496"/>
          <w:sz w:val="21"/>
          <w:szCs w:val="21"/>
          <w:rtl w:val="0"/>
        </w:rPr>
        <w:t xml:space="preserve">▸ </w:t>
      </w:r>
      <w:r w:rsidDel="00000000" w:rsidR="00000000" w:rsidRPr="00000000">
        <w:rPr>
          <w:rFonts w:ascii="Arial" w:cs="Arial" w:eastAsia="Arial" w:hAnsi="Arial"/>
          <w:b w:val="1"/>
          <w:bCs w:val="1"/>
          <w:color w:val="000000"/>
          <w:sz w:val="21"/>
          <w:szCs w:val="21"/>
          <w:rtl w:val="0"/>
        </w:rPr>
        <w:t xml:space="preserve">Building Asiatic Digital — agency practice from the ground up</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Challenge: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Stand up a new digital practice and win retainer clients in a nascent market.</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Execution: </w:t>
      </w: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Defined content strategy and pillars across Facebook, YouTube and the Google Display Network; launched Mirinda's Facebook presence from zero past 100,000 fans under a rare no-pre-approval mandate; managed a multi-brand F&amp;B social portfolio (NESCAFÉ ~1.1M weekly reach, Finlay ~231K); drove research-led pitching for Shell, Nescafé and others; led the Cellbazar→Ekhanei rebrand; planned PepsiCo's 2015 World Cup activation, 7Up and Airtel's 3G launch.</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1"/>
          <w:bCs w:val="1"/>
          <w:i w:val="0"/>
          <w:iCs w:val="0"/>
          <w:smallCaps w:val="0"/>
          <w:strike w:val="0"/>
          <w:color w:val="1f3864"/>
          <w:sz w:val="19"/>
          <w:szCs w:val="19"/>
          <w:u w:val="none"/>
          <w:shd w:fill="auto" w:val="clear"/>
          <w:vertAlign w:val="baseline"/>
          <w:rtl w:val="0"/>
        </w:rPr>
        <w:t xml:space="preserve">Result: </w:t>
      </w: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Scaled the digital agency to ~$1M monthly revenue within seven months and converted prospects (Finlay, Nescafé) into retainer clients; led a 6-person team with full client autonomy.</w:t>
      </w:r>
    </w:p>
    <w:p w:rsidR="00000000" w:rsidDel="00000000" w:rsidP="00000000" w:rsidRDefault="00000000" w:rsidRPr="00000000" w14:paraId="00000069">
      <w:pPr>
        <w:spacing w:after="140" w:before="50" w:lineRule="auto"/>
        <w:rPr/>
      </w:pPr>
      <w:r w:rsidDel="00000000" w:rsidR="00000000" w:rsidRPr="00000000">
        <w:rPr/>
        <w:drawing>
          <wp:inline distB="0" distT="0" distL="0" distR="0">
            <wp:extent cx="6172200" cy="695325"/>
            <wp:effectExtent b="0" l="0" r="0" t="0"/>
            <wp:docPr descr="Key results summary" id="16" name="image13.png"/>
            <a:graphic>
              <a:graphicData uri="http://schemas.openxmlformats.org/drawingml/2006/picture">
                <pic:pic>
                  <pic:nvPicPr>
                    <pic:cNvPr descr="Key results summary" id="0" name="image13.png"/>
                    <pic:cNvPicPr preferRelativeResize="0"/>
                  </pic:nvPicPr>
                  <pic:blipFill>
                    <a:blip r:embed="rId22"/>
                    <a:srcRect b="0" l="0" r="0" t="0"/>
                    <a:stretch>
                      <a:fillRect/>
                    </a:stretch>
                  </pic:blipFill>
                  <pic:spPr>
                    <a:xfrm>
                      <a:off x="0" y="0"/>
                      <a:ext cx="617220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pageBreakBefore w:val="1"/>
        <w:spacing w:after="0" w:lineRule="auto"/>
        <w:rPr/>
      </w:pPr>
      <w:r w:rsidDel="00000000" w:rsidR="00000000" w:rsidRPr="00000000">
        <w:rPr>
          <w:rtl w:val="0"/>
        </w:rPr>
      </w:r>
    </w:p>
    <w:p w:rsidR="00000000" w:rsidDel="00000000" w:rsidP="00000000" w:rsidRDefault="00000000" w:rsidRPr="00000000" w14:paraId="0000006B">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PROFESSIONAL EXPERIENCE</w:t>
      </w:r>
      <w:r w:rsidDel="00000000" w:rsidR="00000000" w:rsidRPr="00000000">
        <w:rPr>
          <w:rtl w:val="0"/>
        </w:rPr>
      </w:r>
    </w:p>
    <w:p w:rsidR="00000000" w:rsidDel="00000000" w:rsidP="00000000" w:rsidRDefault="00000000" w:rsidRPr="00000000" w14:paraId="0000006C">
      <w:pPr>
        <w:spacing w:after="80" w:lineRule="auto"/>
        <w:rPr/>
      </w:pPr>
      <w:r w:rsidDel="00000000" w:rsidR="00000000" w:rsidRPr="00000000">
        <w:rPr>
          <w:rFonts w:ascii="Arial" w:cs="Arial" w:eastAsia="Arial" w:hAnsi="Arial"/>
          <w:b w:val="0"/>
          <w:bCs w:val="0"/>
          <w:i w:val="1"/>
          <w:iCs w:val="1"/>
          <w:color w:val="7f7f7f"/>
          <w:sz w:val="19"/>
          <w:szCs w:val="19"/>
          <w:rtl w:val="0"/>
        </w:rPr>
        <w:t xml:space="preserve">Full role detail. Case studies above expand the marquee initiatives; bullets below capture the complete scope of each role.</w:t>
      </w:r>
      <w:r w:rsidDel="00000000" w:rsidR="00000000" w:rsidRPr="00000000">
        <w:rPr>
          <w:rtl w:val="0"/>
        </w:rPr>
      </w:r>
    </w:p>
    <w:p w:rsidR="00000000" w:rsidDel="00000000" w:rsidP="00000000" w:rsidRDefault="00000000" w:rsidRPr="00000000" w14:paraId="0000006D">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Chief Operating Officer — Laser Treat Group (Laser Treat · DHI Bangladesh · Dhaka Dermatology Institute)</w:t>
      </w:r>
      <w:r w:rsidDel="00000000" w:rsidR="00000000" w:rsidRPr="00000000">
        <w:rPr>
          <w:rtl w:val="0"/>
        </w:rPr>
      </w:r>
    </w:p>
    <w:p w:rsidR="00000000" w:rsidDel="00000000" w:rsidP="00000000" w:rsidRDefault="00000000" w:rsidRPr="00000000" w14:paraId="0000006E">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Nov 2023 – Aug 2024</w:t>
      </w:r>
      <w:r w:rsidDel="00000000" w:rsidR="00000000" w:rsidRPr="00000000">
        <w:rPr>
          <w:rtl w:val="0"/>
        </w:rPr>
      </w:r>
    </w:p>
    <w:p w:rsidR="00000000" w:rsidDel="00000000" w:rsidP="00000000" w:rsidRDefault="00000000" w:rsidRPr="00000000" w14:paraId="0000006F">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Stabilize and grow a multi-entity clinical group by digitizing operations and sharpening the service portfolio.</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Steered a comprehensive operational and growth strategy yielding 16% YTD revenue growth.</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Launched clinical dermatology and sexual-health sub-brands that improved patient navigation and added 11% revenue within two months.</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Implemented a centralized ERP (supply chain, inventory, clinical resources) and digitized patient files, BI dashboards, HR processes and CX logs — reducing delays and improving decision accuracy.</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Introduced CSAT/NPS measurement systems, increasing patient retention 13% and establishing a continuous quality-improvement framework.</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Cut annual operating expenses by $0.5M through process optimization, reinvesting savings into patient-facing services and care-quality upgrades.</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Built and led a high-performing senior leadership team supporting service delivery, operational consistency and cross-department collaboration.</w:t>
      </w:r>
    </w:p>
    <w:p w:rsidR="00000000" w:rsidDel="00000000" w:rsidP="00000000" w:rsidRDefault="00000000" w:rsidRPr="00000000" w14:paraId="00000076">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Head of Marketing &amp; Corporate Sales (Head of Consumer Business) — Praava Health</w:t>
      </w:r>
      <w:r w:rsidDel="00000000" w:rsidR="00000000" w:rsidRPr="00000000">
        <w:rPr>
          <w:rtl w:val="0"/>
        </w:rPr>
      </w:r>
    </w:p>
    <w:p w:rsidR="00000000" w:rsidDel="00000000" w:rsidP="00000000" w:rsidRDefault="00000000" w:rsidRPr="00000000" w14:paraId="00000077">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Jun 2021 – Oct 2023  ·  led a 30-person organization</w:t>
      </w:r>
      <w:r w:rsidDel="00000000" w:rsidR="00000000" w:rsidRPr="00000000">
        <w:rPr>
          <w:rtl w:val="0"/>
        </w:rPr>
      </w:r>
    </w:p>
    <w:p w:rsidR="00000000" w:rsidDel="00000000" w:rsidP="00000000" w:rsidRDefault="00000000" w:rsidRPr="00000000" w14:paraId="00000078">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Own the consumer P&amp;L (83% of revenue) and shift the business from COVID dependence to durable core-care growth.</w:t>
      </w: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Led the consumer business portfolio contributing 83% of total organizational revenue across retail and corporate channels.</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Built corporate sales from zero, scaling clients 342 → ~1,400 via a telco-style KAM model and driving 3.1× growth in corporate health programs.</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Stood up product marketing, BI/Data (housed inside marketing), PR, content and design functions — the commercial infrastructure for scale.</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Launched the multidisciplinary Beauty &amp; Wellness Center (dermatology, dentistry, nutrition, acupuncture, psychology) at 68% YoY growth.</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Redesigned diagnostic packages and introduced a DIY health-testing category, increasing lab revenue 34% YoY; grew B2C preventive &amp; primary care 24% YoY.</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Engineered population-scale access (Lifebuoy hotline ~3,000 calls/day + DGHS data-sharing), nationwide door-to-door COVID collection, and a first-in-country 6-hour traveler-testing protocol integrated with the government portal.</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Co-designed ethical, organ-targeted diagnostic packages that avoided physician kickbacks; launched the Ghore Lab home-diagnostics initiative.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Directed the consumer-business hypergrowth (~45% / ~57% B2C CAGR, 2021–2023) through product, metrics and growth-loop strategies.</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Won a Silver at the Commward — Bangladesh Brand Forum's premier creative-communications award — for a mental-health awareness campaign, the only healthcare campaign recognized that year; secured Praava's status as a Gulf-recognized health center (authorized to issue medical clearances accepted by Gulf countries).</w:t>
      </w:r>
    </w:p>
    <w:p w:rsidR="00000000" w:rsidDel="00000000" w:rsidP="00000000" w:rsidRDefault="00000000" w:rsidRPr="00000000" w14:paraId="00000082">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Graduate Assistant, Health Promotion — Eastern Michigan University, Office of Health Promotion</w:t>
      </w:r>
      <w:r w:rsidDel="00000000" w:rsidR="00000000" w:rsidRPr="00000000">
        <w:rPr>
          <w:rtl w:val="0"/>
        </w:rPr>
      </w:r>
    </w:p>
    <w:p w:rsidR="00000000" w:rsidDel="00000000" w:rsidP="00000000" w:rsidRDefault="00000000" w:rsidRPr="00000000" w14:paraId="00000083">
      <w:pPr>
        <w:keepNext w:val="1"/>
        <w:spacing w:after="60" w:lineRule="auto"/>
        <w:rPr/>
      </w:pPr>
      <w:r w:rsidDel="00000000" w:rsidR="00000000" w:rsidRPr="00000000">
        <w:rPr>
          <w:rFonts w:ascii="Arial" w:cs="Arial" w:eastAsia="Arial" w:hAnsi="Arial"/>
          <w:i w:val="1"/>
          <w:iCs w:val="1"/>
          <w:color w:val="2e5496"/>
          <w:sz w:val="19"/>
          <w:szCs w:val="19"/>
          <w:rtl w:val="0"/>
        </w:rPr>
        <w:t xml:space="preserve">Ypsilanti, MI  ·  Aug 2024 – Jul 2025</w:t>
      </w:r>
      <w:r w:rsidDel="00000000" w:rsidR="00000000" w:rsidRPr="00000000">
        <w:rPr>
          <w:rtl w:val="0"/>
        </w:rPr>
      </w:r>
    </w:p>
    <w:p w:rsidR="00000000" w:rsidDel="00000000" w:rsidP="00000000" w:rsidRDefault="00000000" w:rsidRPr="00000000" w14:paraId="00000084">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Design and promote evidence-based campus health programs grounded in behavioral science.</w:t>
      </w: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Developed and executed campus-wide health promotion programs with Public Health Education faculty, grounded in health-behavior theory and program-planning frameworks.</w:t>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Designed a comprehensive harm-reduction campaign (alcohol &amp; cannabis) — a year-long, multi-channel plan with a defined evaluation framework.</w:t>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Created a reusable Public Health Event Framework for Eta Sigma Gamma (planning, execution, evaluation, sustainability).</w:t>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Co-created the WellNest Watch public-health column in The Eastern Echo, shaping its messaging and engagement model; amplification reached 10,000+ individuals.</w:t>
      </w:r>
    </w:p>
    <w:p w:rsidR="00000000" w:rsidDel="00000000" w:rsidP="00000000" w:rsidRDefault="00000000" w:rsidRPr="00000000" w14:paraId="00000089">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Startup Mentor — BRAC University Cohort, University Innovation Hub Program (UIHP)</w:t>
      </w:r>
      <w:r w:rsidDel="00000000" w:rsidR="00000000" w:rsidRPr="00000000">
        <w:rPr>
          <w:rtl w:val="0"/>
        </w:rPr>
      </w:r>
    </w:p>
    <w:p w:rsidR="00000000" w:rsidDel="00000000" w:rsidP="00000000" w:rsidRDefault="00000000" w:rsidRPr="00000000" w14:paraId="0000008A">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Mar 2024 – May 2024</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Mentored early-stage startups on business-model refinement and competitive positioning.</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Helped founders build actionable, sector-tailored growth strategies for scalability and market penetration.</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Advised on product development, scaling, and funding navigation — applying business-strategy and digital-transformation expertise across healthcare and technology ventures.</w:t>
      </w:r>
    </w:p>
    <w:p w:rsidR="00000000" w:rsidDel="00000000" w:rsidP="00000000" w:rsidRDefault="00000000" w:rsidRPr="00000000" w14:paraId="0000008E">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MPH Capstone — Health System Resilience &amp; Economic Protection Campaign</w:t>
      </w:r>
      <w:r w:rsidDel="00000000" w:rsidR="00000000" w:rsidRPr="00000000">
        <w:rPr>
          <w:rtl w:val="0"/>
        </w:rPr>
      </w:r>
    </w:p>
    <w:p w:rsidR="00000000" w:rsidDel="00000000" w:rsidP="00000000" w:rsidRDefault="00000000" w:rsidRPr="00000000" w14:paraId="0000008F">
      <w:pPr>
        <w:keepNext w:val="1"/>
        <w:spacing w:after="60" w:lineRule="auto"/>
        <w:rPr/>
      </w:pPr>
      <w:r w:rsidDel="00000000" w:rsidR="00000000" w:rsidRPr="00000000">
        <w:rPr>
          <w:rFonts w:ascii="Arial" w:cs="Arial" w:eastAsia="Arial" w:hAnsi="Arial"/>
          <w:i w:val="1"/>
          <w:iCs w:val="1"/>
          <w:color w:val="2e5496"/>
          <w:sz w:val="19"/>
          <w:szCs w:val="19"/>
          <w:rtl w:val="0"/>
        </w:rPr>
        <w:t xml:space="preserve">Eastern Michigan University · Ypsilanti, MI  ·  Feb 2026 – Apr 2026</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Designed and executed a multi-article, multi-platform public-health advocacy campaign published across The Daily Star (Bangladesh's largest English-language national daily), Eastern Echo and the WellNest Watch column.</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Documented a replicable ~3× Facebook reach amplification through strategic stakeholder tagging; built a rigorous analytics framework with locked methodology and APA-7 benchmarks.</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Co-established the WellNest Watch column as a sustainable campus health-communication channel.</w:t>
      </w:r>
    </w:p>
    <w:p w:rsidR="00000000" w:rsidDel="00000000" w:rsidP="00000000" w:rsidRDefault="00000000" w:rsidRPr="00000000" w14:paraId="00000093">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Senior Manager, Employer &amp; Member Affairs (Team Lead) — ACCA</w:t>
      </w:r>
      <w:r w:rsidDel="00000000" w:rsidR="00000000" w:rsidRPr="00000000">
        <w:rPr>
          <w:rtl w:val="0"/>
        </w:rPr>
      </w:r>
    </w:p>
    <w:p w:rsidR="00000000" w:rsidDel="00000000" w:rsidP="00000000" w:rsidRDefault="00000000" w:rsidRPr="00000000" w14:paraId="00000094">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Jan 2019 – May 2021  ·  Business Development</w:t>
      </w:r>
      <w:r w:rsidDel="00000000" w:rsidR="00000000" w:rsidRPr="00000000">
        <w:rPr>
          <w:rtl w:val="0"/>
        </w:rPr>
      </w:r>
    </w:p>
    <w:p w:rsidR="00000000" w:rsidDel="00000000" w:rsidP="00000000" w:rsidRDefault="00000000" w:rsidRPr="00000000" w14:paraId="00000095">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Develop a sustainable country business ecosystem and grow members, affiliates and approved employers against hard targets.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Achieved 100% of all 2020–21 targets: new-member conversion 378→435 (+15.1%), member retention 98.2%, affiliate retention +2.4%.</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Designed and owned the Employer &amp; Member Affairs operating model — 15+ KPI-linked activity types on a 19/20→24/25 roadmap; doubled big-corporate approved employers (8→16), MNCs and large local organizations with sizable finance teams.</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Planned and executed the 'Business Partner of the Future' round table (PwC, The Daily Star) and contributed on the panel alongside the finance C-suite; ran the Post-Budget 2020 round table (Kaler Kantho, 18 veterans).</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Executed the ~400-person flagship New Member Ceremony (Comptroller &amp; Auditor General as Chief Guest) and delivered the 'Smarter Cities' professional-insight keynote.</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Initiated strategic partnerships (BSHRM, CFO Forum, ICAB, ICMAB, FRC); arranged a 17-country data-analytics training; partnered with Ex-Tax on an SDG tax study; designed the 'ACCA Next Leader' talk show with Channel i.</w:t>
      </w:r>
    </w:p>
    <w:p w:rsidR="00000000" w:rsidDel="00000000" w:rsidP="00000000" w:rsidRDefault="00000000" w:rsidRPr="00000000" w14:paraId="0000009B">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Manager, Product Planning — Samsung India Electronics Ltd (Bangladesh)</w:t>
      </w:r>
      <w:r w:rsidDel="00000000" w:rsidR="00000000" w:rsidRPr="00000000">
        <w:rPr>
          <w:rtl w:val="0"/>
        </w:rPr>
      </w:r>
    </w:p>
    <w:p w:rsidR="00000000" w:rsidDel="00000000" w:rsidP="00000000" w:rsidRDefault="00000000" w:rsidRPr="00000000" w14:paraId="0000009C">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Sep 2017 – Dec 2018  ·  Product Marketing  ·  Q3'18 Business Performer (IM Division)</w:t>
      </w:r>
      <w:r w:rsidDel="00000000" w:rsidR="00000000" w:rsidRPr="00000000">
        <w:rPr>
          <w:rtl w:val="0"/>
        </w:rPr>
      </w:r>
    </w:p>
    <w:p w:rsidR="00000000" w:rsidDel="00000000" w:rsidP="00000000" w:rsidRDefault="00000000" w:rsidRPr="00000000" w14:paraId="0000009D">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Lead portfolio, pricing, positioning and go-to-market for flagship and mid-high smartphone segments.</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Led the record-setting Note9 preorder launch (1.54× YoY, #1 globally for growth); defined GTM for entry-segment J2 4G / J2 Core (~2,600 units/day).</w:t>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Built Samsung's online footprint via the national-distributor e-commerce marketplace and online-specific SKUs across every major platform.</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Created a market-first consumer loyalty program with Samsung's R&amp;D institute (SRBD) and a novel monsoon water-damage campaign off a multi-year breakage simulation.</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Ran monthly market-transition planning with internal and distributor teams (volumes, allocations, ramp-ups, transition plans), liaising with regional management and HQ; owned localization of each product's key selling points and unique selling proposition (USP) across all touchpoints.</w:t>
      </w:r>
    </w:p>
    <w:p w:rsidR="00000000" w:rsidDel="00000000" w:rsidP="00000000" w:rsidRDefault="00000000" w:rsidRPr="00000000" w14:paraId="000000A2">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Brand &amp; Communications Manager (Brand &amp; Vehicle Category Lead) — Ekhanei.com (SnT Bangladesh)</w:t>
      </w:r>
      <w:r w:rsidDel="00000000" w:rsidR="00000000" w:rsidRPr="00000000">
        <w:rPr>
          <w:rtl w:val="0"/>
        </w:rPr>
      </w:r>
    </w:p>
    <w:p w:rsidR="00000000" w:rsidDel="00000000" w:rsidP="00000000" w:rsidRDefault="00000000" w:rsidRPr="00000000" w14:paraId="000000A3">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Oct 2016 – Sep 2017  ·  Marketing</w:t>
      </w:r>
      <w:r w:rsidDel="00000000" w:rsidR="00000000" w:rsidRPr="00000000">
        <w:rPr>
          <w:rtl w:val="0"/>
        </w:rPr>
      </w:r>
    </w:p>
    <w:p w:rsidR="00000000" w:rsidDel="00000000" w:rsidP="00000000" w:rsidRDefault="00000000" w:rsidRPr="00000000" w14:paraId="000000A4">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Build and lead the vehicle category for an online marketplace and own brand communications.</w:t>
      </w: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Built the nation's #1 motorbike category from zero (overtook the national leader in 2.5 months); led a ~60-person nationwide team plus a 3-person creative team.</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Designed the territory-manager / live audit-call reconciliation quality system and a semi-pro seller key-account team.</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Conceived the 'Bike Bazaar' trust event (free mechanic checks + Bangladesh Road Transport Corporation vehicle-registration verification) and a consumer-goods-style offline trade play (branded light-boxes for 30% of partner electricity bills).</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Drove 25% category revenue and 15% market-share growth; wrote TVC stories produced and aired; served as lead planner for the Cellbazar→Ekhanei rebrand.</w:t>
      </w:r>
    </w:p>
    <w:p w:rsidR="00000000" w:rsidDel="00000000" w:rsidP="00000000" w:rsidRDefault="00000000" w:rsidRPr="00000000" w14:paraId="000000A9">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Marketing Manager (Marketing Lead) — SureCash (Progoti Systems Ltd · Mobile Financial Services)</w:t>
      </w:r>
      <w:r w:rsidDel="00000000" w:rsidR="00000000" w:rsidRPr="00000000">
        <w:rPr>
          <w:rtl w:val="0"/>
        </w:rPr>
      </w:r>
    </w:p>
    <w:p w:rsidR="00000000" w:rsidDel="00000000" w:rsidP="00000000" w:rsidRDefault="00000000" w:rsidRPr="00000000" w14:paraId="000000AA">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Jun 2015 – Oct 2016  ·  Marketing</w:t>
      </w:r>
      <w:r w:rsidDel="00000000" w:rsidR="00000000" w:rsidRPr="00000000">
        <w:rPr>
          <w:rtl w:val="0"/>
        </w:rPr>
      </w:r>
    </w:p>
    <w:p w:rsidR="00000000" w:rsidDel="00000000" w:rsidP="00000000" w:rsidRDefault="00000000" w:rsidRPr="00000000" w14:paraId="000000AB">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Own brand, trade and digital for a multi-bank mobile-financial-services platform, including a population-scale government-to-person (G2P) program.</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Led the 10-million-beneficiary government-to-person (G2P) stipend campaign via residence-mapped point-of-sale materials, automated telco voice calls (IVR) and rural mosque activations.</w:t>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Built the in-house creative team (5) and brand book from scratch; merged digital with the call center for category-leading social responsiveness.</w:t>
      </w:r>
    </w:p>
    <w:p w:rsidR="00000000" w:rsidDel="00000000" w:rsidP="00000000" w:rsidRDefault="00000000" w:rsidRPr="00000000" w14:paraId="00000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Owned ATL/BTL/digital strategy and the website revamp (35% bounce-rate reduction, 50% follower growth); brand awareness +~20%, engagement +~15%.</w:t>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Ran national/international press events (Eden College launch with the Education Minister; Grameen Bank/Shakti signings); won the Banking Fair Award of Excellence.</w:t>
      </w:r>
    </w:p>
    <w:p w:rsidR="00000000" w:rsidDel="00000000" w:rsidP="00000000" w:rsidRDefault="00000000" w:rsidRPr="00000000" w14:paraId="000000B0">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Senior Executive, Strategic Planning (ATL &amp; Digital) — Asiatic (Bangladesh JWT) / Asiatic Digital</w:t>
      </w:r>
      <w:r w:rsidDel="00000000" w:rsidR="00000000" w:rsidRPr="00000000">
        <w:rPr>
          <w:rtl w:val="0"/>
        </w:rPr>
      </w:r>
    </w:p>
    <w:p w:rsidR="00000000" w:rsidDel="00000000" w:rsidP="00000000" w:rsidRDefault="00000000" w:rsidRPr="00000000" w14:paraId="000000B1">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Dec 2013 – May 2015  ·  Strategic Planning</w:t>
      </w:r>
      <w:r w:rsidDel="00000000" w:rsidR="00000000" w:rsidRPr="00000000">
        <w:rPr>
          <w:rtl w:val="0"/>
        </w:rPr>
      </w:r>
    </w:p>
    <w:p w:rsidR="00000000" w:rsidDel="00000000" w:rsidP="00000000" w:rsidRDefault="00000000" w:rsidRPr="00000000" w14:paraId="000000B2">
      <w:pPr>
        <w:spacing w:after="80" w:lineRule="auto"/>
        <w:rPr/>
      </w:pPr>
      <w:r w:rsidDel="00000000" w:rsidR="00000000" w:rsidRPr="00000000">
        <w:rPr>
          <w:rFonts w:ascii="Arial" w:cs="Arial" w:eastAsia="Arial" w:hAnsi="Arial"/>
          <w:b w:val="1"/>
          <w:bCs w:val="1"/>
          <w:color w:val="1f3864"/>
          <w:sz w:val="19"/>
          <w:szCs w:val="19"/>
          <w:rtl w:val="0"/>
        </w:rPr>
        <w:t xml:space="preserve">Strategic mandate — </w:t>
      </w:r>
      <w:r w:rsidDel="00000000" w:rsidR="00000000" w:rsidRPr="00000000">
        <w:rPr>
          <w:rFonts w:ascii="Arial" w:cs="Arial" w:eastAsia="Arial" w:hAnsi="Arial"/>
          <w:color w:val="595959"/>
          <w:sz w:val="19"/>
          <w:szCs w:val="19"/>
          <w:rtl w:val="0"/>
        </w:rPr>
        <w:t xml:space="preserve">Plan integrated campaigns and help build the agency's new digital practice.</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Led planning + execution of the flagship Lux Channel i Superstar 2014 platform; promoted to lead a wing of Asiatic Digital (6-person team, full client autonomy).</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Scaled the digital practice to ~$1M monthly revenue in seven months; launched Mirinda past 100,000 Facebook fans; managed a multi-brand F&amp;B portfolio (NESCAFÉ, Finlay).</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Planned PepsiCo's 2015 World Cup activation, 7Up and Airtel's 3G launch; led the Cellbazar→Ekhanei rebrand; delivered comms for Mount Elizabeth Hospital and Kaler Kantho.</w:t>
      </w:r>
    </w:p>
    <w:p w:rsidR="00000000" w:rsidDel="00000000" w:rsidP="00000000" w:rsidRDefault="00000000" w:rsidRPr="00000000" w14:paraId="000000B6">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Executive, Brand — MGH Group</w:t>
      </w:r>
      <w:r w:rsidDel="00000000" w:rsidR="00000000" w:rsidRPr="00000000">
        <w:rPr>
          <w:rtl w:val="0"/>
        </w:rPr>
      </w:r>
    </w:p>
    <w:p w:rsidR="00000000" w:rsidDel="00000000" w:rsidP="00000000" w:rsidRDefault="00000000" w:rsidRPr="00000000" w14:paraId="000000B7">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May 2013 – Nov 2013  ·  Corporate Brands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Developed the group brand system across diverse business units (logistics, shipping, aviation, restaurant, radio), maintaining positioning consistency unit by unit.</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Managed domestic and overseas vendors with end-to-end quality control of group brand collateral.</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Secured and executed lead-sponsor presence at BATEXPO 2013 and MGH's Air Cargo &amp; Logistics Asia 2013 (Singapore) participation; created the 'Foortibaaz' Radio Foorti activation.</w:t>
      </w:r>
    </w:p>
    <w:p w:rsidR="00000000" w:rsidDel="00000000" w:rsidP="00000000" w:rsidRDefault="00000000" w:rsidRPr="00000000" w14:paraId="000000BB">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Account Executive — Grey Advertising (Grey Dhaka · WPP)</w:t>
      </w:r>
      <w:r w:rsidDel="00000000" w:rsidR="00000000" w:rsidRPr="00000000">
        <w:rPr>
          <w:rtl w:val="0"/>
        </w:rPr>
      </w:r>
    </w:p>
    <w:p w:rsidR="00000000" w:rsidDel="00000000" w:rsidP="00000000" w:rsidRDefault="00000000" w:rsidRPr="00000000" w14:paraId="000000BC">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Oct 2011 – May 2013  ·  Client Service</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Owned retainer portfolios for Akij F&amp;B and GSK (plus Pizza Inn, BDDL) with 95% client retention.</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Distilled the 'purity/truthfulness' Frutika positioning from production insight; co-developed the Pizza Inn 'Bring Your Own Balish' challenger campaign.</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Mastered full-cycle TVC production (pre/during/post), photoshoots and static creative; delivered 10+ launches in under two years; owned budgeting and vendor negotiation; trained 2 interns.</w:t>
      </w:r>
    </w:p>
    <w:p w:rsidR="00000000" w:rsidDel="00000000" w:rsidP="00000000" w:rsidRDefault="00000000" w:rsidRPr="00000000" w14:paraId="000000C0">
      <w:pPr>
        <w:keepNext w:val="1"/>
        <w:spacing w:after="10" w:before="200" w:lineRule="auto"/>
        <w:rPr/>
      </w:pPr>
      <w:r w:rsidDel="00000000" w:rsidR="00000000" w:rsidRPr="00000000">
        <w:rPr>
          <w:rFonts w:ascii="Arial" w:cs="Arial" w:eastAsia="Arial" w:hAnsi="Arial"/>
          <w:b w:val="1"/>
          <w:bCs w:val="1"/>
          <w:color w:val="000000"/>
          <w:sz w:val="23"/>
          <w:szCs w:val="23"/>
          <w:rtl w:val="0"/>
        </w:rPr>
        <w:t xml:space="preserve">Customer Manager — Grameenphone Ltd (Telenor Bangladesh)</w:t>
      </w:r>
      <w:r w:rsidDel="00000000" w:rsidR="00000000" w:rsidRPr="00000000">
        <w:rPr>
          <w:rtl w:val="0"/>
        </w:rPr>
      </w:r>
    </w:p>
    <w:p w:rsidR="00000000" w:rsidDel="00000000" w:rsidP="00000000" w:rsidRDefault="00000000" w:rsidRPr="00000000" w14:paraId="000000C1">
      <w:pPr>
        <w:keepNext w:val="1"/>
        <w:spacing w:after="60" w:lineRule="auto"/>
        <w:rPr/>
      </w:pPr>
      <w:r w:rsidDel="00000000" w:rsidR="00000000" w:rsidRPr="00000000">
        <w:rPr>
          <w:rFonts w:ascii="Arial" w:cs="Arial" w:eastAsia="Arial" w:hAnsi="Arial"/>
          <w:i w:val="1"/>
          <w:iCs w:val="1"/>
          <w:color w:val="2e5496"/>
          <w:sz w:val="19"/>
          <w:szCs w:val="19"/>
          <w:rtl w:val="0"/>
        </w:rPr>
        <w:t xml:space="preserve">Dhaka, Bangladesh  ·  May 2009 – Oct 2011  ·  Customer Service</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Handled 90–100 daily interactions across premium, roaming, retailer and mass segments (90%+ CSAT, 85% first-call resolution).</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Unicode MS" w:cs="Arial Unicode MS" w:eastAsia="Arial Unicode MS" w:hAnsi="Arial Unicode MS"/>
          <w:b w:val="0"/>
          <w:bCs w:val="0"/>
          <w:i w:val="0"/>
          <w:iCs w:val="0"/>
          <w:smallCaps w:val="0"/>
          <w:strike w:val="0"/>
          <w:color w:val="000000"/>
          <w:sz w:val="19"/>
          <w:szCs w:val="19"/>
          <w:u w:val="none"/>
          <w:shd w:fill="auto" w:val="clear"/>
          <w:vertAlign w:val="baseline"/>
          <w:rtl w:val="0"/>
        </w:rPr>
        <w:t xml:space="preserve">Founding member of award-winning 'Team Sindbad' (Best Proactive Team 2010); Employee of the Month ×3; onboarded most of the team as it scaled 8→21 — while self-funding undergraduate studies.</w:t>
      </w:r>
    </w:p>
    <w:p w:rsidR="00000000" w:rsidDel="00000000" w:rsidP="00000000" w:rsidRDefault="00000000" w:rsidRPr="00000000" w14:paraId="000000C4">
      <w:pPr>
        <w:keepNext w:val="1"/>
        <w:spacing w:after="10" w:before="200" w:lineRule="auto"/>
        <w:rPr/>
      </w:pPr>
      <w:r w:rsidDel="00000000" w:rsidR="00000000" w:rsidRPr="00000000">
        <w:rPr>
          <w:rFonts w:ascii="Arial Unicode MS" w:cs="Arial Unicode MS" w:eastAsia="Arial Unicode MS" w:hAnsi="Arial Unicode MS"/>
          <w:b w:val="1"/>
          <w:bCs w:val="1"/>
          <w:color w:val="000000"/>
          <w:sz w:val="23"/>
          <w:szCs w:val="23"/>
          <w:rtl w:val="0"/>
        </w:rPr>
        <w:t xml:space="preserve">Graduate Hall Director (progressed from Desk Assistant → Resident Advisor) — EMU Housing &amp; Residence Life</w:t>
      </w:r>
      <w:r w:rsidDel="00000000" w:rsidR="00000000" w:rsidRPr="00000000">
        <w:rPr>
          <w:rtl w:val="0"/>
        </w:rPr>
      </w:r>
    </w:p>
    <w:p w:rsidR="00000000" w:rsidDel="00000000" w:rsidP="00000000" w:rsidRDefault="00000000" w:rsidRPr="00000000" w14:paraId="000000C5">
      <w:pPr>
        <w:keepNext w:val="1"/>
        <w:spacing w:after="60" w:lineRule="auto"/>
        <w:rPr/>
      </w:pPr>
      <w:r w:rsidDel="00000000" w:rsidR="00000000" w:rsidRPr="00000000">
        <w:rPr>
          <w:rFonts w:ascii="Arial" w:cs="Arial" w:eastAsia="Arial" w:hAnsi="Arial"/>
          <w:i w:val="1"/>
          <w:iCs w:val="1"/>
          <w:color w:val="2e5496"/>
          <w:sz w:val="19"/>
          <w:szCs w:val="19"/>
          <w:rtl w:val="0"/>
        </w:rPr>
        <w:t xml:space="preserve">Ypsilanti, MI  ·  Aug 2024 – May 2026</w:t>
      </w:r>
      <w:r w:rsidDel="00000000" w:rsidR="00000000" w:rsidRPr="00000000">
        <w:rPr>
          <w:rtl w:val="0"/>
        </w:rPr>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As Graduate Hall Director at Walton Hall, supervised 9 Resident Advisors serving 230 residents; with 44% of the team new, designed an audience-segmentation communication training (tailoring outreach to different resident groups) that drove 541 logged resident engagements and the 2nd-highest resident-connection rate (39.1%) among all campus residence halls.</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Built an automated duty-scheduling system and weekly data-informed insight reports; led crisis responses with DPS and Fire &amp; Rescue; nominated for EMU's Student Gold Medallion Award for Exemplary Leadership.</w:t>
      </w:r>
    </w:p>
    <w:p w:rsidR="00000000" w:rsidDel="00000000" w:rsidP="00000000" w:rsidRDefault="00000000" w:rsidRPr="00000000" w14:paraId="000000C8">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SELECTED RECOMMENDATIONS (LINKEDIN)</w:t>
      </w:r>
      <w:r w:rsidDel="00000000" w:rsidR="00000000" w:rsidRPr="00000000">
        <w:rPr>
          <w:rtl w:val="0"/>
        </w:rPr>
      </w:r>
    </w:p>
    <w:p w:rsidR="00000000" w:rsidDel="00000000" w:rsidP="00000000" w:rsidRDefault="00000000" w:rsidRPr="00000000" w14:paraId="000000C9">
      <w:pPr>
        <w:spacing w:after="100" w:lineRule="auto"/>
        <w:rPr/>
      </w:pPr>
      <w:r w:rsidDel="00000000" w:rsidR="00000000" w:rsidRPr="00000000">
        <w:rPr>
          <w:rFonts w:ascii="Arial" w:cs="Arial" w:eastAsia="Arial" w:hAnsi="Arial"/>
          <w:b w:val="0"/>
          <w:bCs w:val="0"/>
          <w:i w:val="1"/>
          <w:iCs w:val="1"/>
          <w:color w:val="7f7f7f"/>
          <w:sz w:val="19"/>
          <w:szCs w:val="19"/>
          <w:rtl w:val="0"/>
        </w:rPr>
        <w:t xml:space="preserve">Verbatim endorsements from senior colleagues and managers.</w:t>
      </w:r>
      <w:r w:rsidDel="00000000" w:rsidR="00000000" w:rsidRPr="00000000">
        <w:rPr>
          <w:rtl w:val="0"/>
        </w:rPr>
      </w:r>
    </w:p>
    <w:p w:rsidR="00000000" w:rsidDel="00000000" w:rsidP="00000000" w:rsidRDefault="00000000" w:rsidRPr="00000000" w14:paraId="000000CA">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“I am delighted to write this recommendation for Shafaat Ali Choyon, who has been an invaluable member of our Praava team for more than two years. Shafaat has a radiant personality that brings joy to our workplace and keeps the team morale high. In his professional capacity as a marketer, Shafaat has consistently demonstrated creativity and innovation. His unique ideas for marketing campaigns have significantly enhanced our brand identity and image. Shafaat is also an exceptional team leader. He has built strong relationships with all team members, earning their respect and admiration. His leadership style is inclusive and supportive, fostering a positive and productive work environment. Moreover, Shafaat has shown remarkable resilience in high-pressure situations. He has set a precedent on how to adapt and maintain performance under stress, which is highly commendable. In summary, Shafaat is a versatile marketer with excellent leadership skills and a positive attitude. I wholeheartedly recommend him for any growth and marketing-related roles he may pursue in the future.”</w:t>
      </w:r>
      <w:r w:rsidDel="00000000" w:rsidR="00000000" w:rsidRPr="00000000">
        <w:rPr>
          <w:rtl w:val="0"/>
        </w:rPr>
      </w:r>
    </w:p>
    <w:p w:rsidR="00000000" w:rsidDel="00000000" w:rsidP="00000000" w:rsidRDefault="00000000" w:rsidRPr="00000000" w14:paraId="000000CB">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Mohammad Abdul Matin Emon — CEO at Praava Health | Founder, Innobig (managed Shafaat directly), 2023</w:t>
      </w:r>
      <w:r w:rsidDel="00000000" w:rsidR="00000000" w:rsidRPr="00000000">
        <w:rPr>
          <w:rtl w:val="0"/>
        </w:rPr>
      </w:r>
    </w:p>
    <w:p w:rsidR="00000000" w:rsidDel="00000000" w:rsidP="00000000" w:rsidRDefault="00000000" w:rsidRPr="00000000" w14:paraId="000000CC">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“Shafaat is a talented leader, creative thinker and team builder. He took over the marketing function at Praava and has built a solid, highly effective team that delivers results. He has a steady hand, is very resilient and knows the market extremely well. He took over the Praava brand at an important inflection point and delivered significant growth and executed on a complex strategy. I worked with Shafaat as his line manager and we were able to execute in very difficult operating circumstances during a pandemic. I trust Shafaat and would work with him again any minute.”</w:t>
      </w:r>
      <w:r w:rsidDel="00000000" w:rsidR="00000000" w:rsidRPr="00000000">
        <w:rPr>
          <w:rtl w:val="0"/>
        </w:rPr>
      </w:r>
    </w:p>
    <w:p w:rsidR="00000000" w:rsidDel="00000000" w:rsidP="00000000" w:rsidRDefault="00000000" w:rsidRPr="00000000" w14:paraId="000000CD">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Kat Wendelstadt — Founder &amp; CMO; Shafaat’s line manager at Praava, 2022</w:t>
      </w:r>
      <w:r w:rsidDel="00000000" w:rsidR="00000000" w:rsidRPr="00000000">
        <w:rPr>
          <w:rtl w:val="0"/>
        </w:rPr>
      </w:r>
    </w:p>
    <w:p w:rsidR="00000000" w:rsidDel="00000000" w:rsidP="00000000" w:rsidRDefault="00000000" w:rsidRPr="00000000" w14:paraId="000000CE">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“I had the great pleasure of working with Md Shafaat Ali, during a period of great change in Ekhanei. I quickly identified him as one of the great potentials and a strong change agent, and during the implementation, he proved to be instrumental in executing the new strategy. Choyon’s strengths are in planning, execution, partnerships and project management, in addition to being a seasoned marketer and brand specialist. With Choyon you will get a great guy who gives everything for his team and employer, and he comes highly recommended.”</w:t>
      </w:r>
      <w:r w:rsidDel="00000000" w:rsidR="00000000" w:rsidRPr="00000000">
        <w:rPr>
          <w:rtl w:val="0"/>
        </w:rPr>
      </w:r>
    </w:p>
    <w:p w:rsidR="00000000" w:rsidDel="00000000" w:rsidP="00000000" w:rsidRDefault="00000000" w:rsidRPr="00000000" w14:paraId="000000CF">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Eivind Skibenes — COO at Plick; managed Shafaat directly at Ekhanei, 2017</w:t>
      </w:r>
      <w:r w:rsidDel="00000000" w:rsidR="00000000" w:rsidRPr="00000000">
        <w:rPr>
          <w:rtl w:val="0"/>
        </w:rPr>
      </w:r>
    </w:p>
    <w:p w:rsidR="00000000" w:rsidDel="00000000" w:rsidP="00000000" w:rsidRDefault="00000000" w:rsidRPr="00000000" w14:paraId="000000D0">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“Choyon is an extremely capable and dedicated Marketing professional. He has strong strategic, analytical and communication skills, which are further enhanced by his solid background in the field of Brand and communications, market understanding and his enthusiasm to do better. I know him for more than 5 years now and have worked on a wide variety of projects. I have seen his super ability in getting things done properly, even in a difficult environment. He is creative and structured, can connect with anyone in a very business-effective manner, a great team manager and definitely very persuasive in getting his things done. As a marketer, he is able to launch, develop and maintain any business process that he takes an interest in. I wish him great success, and I am sure it will follow him!”</w:t>
      </w:r>
      <w:r w:rsidDel="00000000" w:rsidR="00000000" w:rsidRPr="00000000">
        <w:rPr>
          <w:rtl w:val="0"/>
        </w:rPr>
      </w:r>
    </w:p>
    <w:p w:rsidR="00000000" w:rsidDel="00000000" w:rsidP="00000000" w:rsidRDefault="00000000" w:rsidRPr="00000000" w14:paraId="000000D1">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Shaahed Radwan — Retail Marketing &amp; Category Strategy Lead; managed Shafaat directly at Ekhanei, 2017</w:t>
      </w:r>
      <w:r w:rsidDel="00000000" w:rsidR="00000000" w:rsidRPr="00000000">
        <w:rPr>
          <w:rtl w:val="0"/>
        </w:rPr>
      </w:r>
    </w:p>
    <w:p w:rsidR="00000000" w:rsidDel="00000000" w:rsidP="00000000" w:rsidRDefault="00000000" w:rsidRPr="00000000" w14:paraId="000000D2">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“Md Shafaat is someone you will go to for a solution to your problems, and as an expert strategic planner he knows how to solve them intelligently in a planned way. I was lucky enough to work with him during his tenure in MGH Group and have observed him plan and implement big-scale local and foreign events.”</w:t>
      </w:r>
      <w:r w:rsidDel="00000000" w:rsidR="00000000" w:rsidRPr="00000000">
        <w:rPr>
          <w:rtl w:val="0"/>
        </w:rPr>
      </w:r>
    </w:p>
    <w:p w:rsidR="00000000" w:rsidDel="00000000" w:rsidP="00000000" w:rsidRDefault="00000000" w:rsidRPr="00000000" w14:paraId="000000D3">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A K M Shafiqur Rahman — Payments Product &amp; Transformation, BNY (worked with Shafaat at MGH Group), 2014</w:t>
      </w:r>
      <w:r w:rsidDel="00000000" w:rsidR="00000000" w:rsidRPr="00000000">
        <w:rPr>
          <w:rtl w:val="0"/>
        </w:rPr>
      </w:r>
    </w:p>
    <w:p w:rsidR="00000000" w:rsidDel="00000000" w:rsidP="00000000" w:rsidRDefault="00000000" w:rsidRPr="00000000" w14:paraId="000000D4">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“I have had the opportunity to work with Shafaat on a number of occasions at MGH. I have found him to be very collected and detail oriented. He knows his strengths and gets the job done. He is a good listener as well! A friendly person by nature and a good team player. I wish him all the success in future. You deserve it!”</w:t>
      </w:r>
      <w:r w:rsidDel="00000000" w:rsidR="00000000" w:rsidRPr="00000000">
        <w:rPr>
          <w:rtl w:val="0"/>
        </w:rPr>
      </w:r>
    </w:p>
    <w:p w:rsidR="00000000" w:rsidDel="00000000" w:rsidP="00000000" w:rsidRDefault="00000000" w:rsidRPr="00000000" w14:paraId="000000D5">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Samara Taylor — Senior Director, Strategy and Transactions, EY-Parthenon (worked with Shafaat at MGH), 2014</w:t>
      </w:r>
      <w:r w:rsidDel="00000000" w:rsidR="00000000" w:rsidRPr="00000000">
        <w:rPr>
          <w:rtl w:val="0"/>
        </w:rPr>
      </w:r>
    </w:p>
    <w:p w:rsidR="00000000" w:rsidDel="00000000" w:rsidP="00000000" w:rsidRDefault="00000000" w:rsidRPr="00000000" w14:paraId="000000D6">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“Shafaat Ali Choyon is a talented young professional. During his days in Samsung Electronics (Bangladesh Branch), he was a key resource for campaign design and product management. He has great ability to manage things singlehandedly and at the same time lead complex projects with sheer quality. I am a real admirer of his people management skill. He can take control over complex situations with his leadership proficiency. Outside of workplace, he is known for his great human qualities.”</w:t>
      </w:r>
      <w:r w:rsidDel="00000000" w:rsidR="00000000" w:rsidRPr="00000000">
        <w:rPr>
          <w:rtl w:val="0"/>
        </w:rPr>
      </w:r>
    </w:p>
    <w:p w:rsidR="00000000" w:rsidDel="00000000" w:rsidP="00000000" w:rsidRDefault="00000000" w:rsidRPr="00000000" w14:paraId="000000D7">
      <w:pPr>
        <w:spacing w:after="150" w:lineRule="auto"/>
        <w:ind w:left="260" w:firstLine="0"/>
        <w:rPr/>
      </w:pPr>
      <w:r w:rsidDel="00000000" w:rsidR="00000000" w:rsidRPr="00000000">
        <w:rPr>
          <w:rFonts w:ascii="Arial" w:cs="Arial" w:eastAsia="Arial" w:hAnsi="Arial"/>
          <w:b w:val="1"/>
          <w:bCs w:val="1"/>
          <w:color w:val="1f3864"/>
          <w:sz w:val="17"/>
          <w:szCs w:val="17"/>
          <w:rtl w:val="0"/>
        </w:rPr>
        <w:t xml:space="preserve">— Mohammad Shahriar — Sales Training, Product &amp; Campaign Management, Samsung (senior to Shafaat), 2019</w:t>
      </w:r>
      <w:r w:rsidDel="00000000" w:rsidR="00000000" w:rsidRPr="00000000">
        <w:rPr>
          <w:rtl w:val="0"/>
        </w:rPr>
      </w:r>
    </w:p>
    <w:p w:rsidR="00000000" w:rsidDel="00000000" w:rsidP="00000000" w:rsidRDefault="00000000" w:rsidRPr="00000000" w14:paraId="000000D8">
      <w:pPr>
        <w:pBdr>
          <w:left w:color="2e5496" w:space="10" w:sz="18" w:val="single"/>
        </w:pBdr>
        <w:spacing w:after="30" w:lineRule="auto"/>
        <w:ind w:left="260" w:firstLine="0"/>
        <w:rPr/>
      </w:pPr>
      <w:r w:rsidDel="00000000" w:rsidR="00000000" w:rsidRPr="00000000">
        <w:rPr>
          <w:rFonts w:ascii="Arial" w:cs="Arial" w:eastAsia="Arial" w:hAnsi="Arial"/>
          <w:i w:val="1"/>
          <w:iCs w:val="1"/>
          <w:color w:val="000000"/>
          <w:sz w:val="19"/>
          <w:szCs w:val="19"/>
          <w:rtl w:val="0"/>
        </w:rPr>
        <w:t xml:space="preserve">“Shafaat has proven himself to be a very valuable resource in just a year, in a completely different sector from his previous experiences — evidence of qualities such as high adaptability. He has always brought innovation and experience to the table. I highly regard him as a motivated professional.”</w:t>
      </w:r>
      <w:r w:rsidDel="00000000" w:rsidR="00000000" w:rsidRPr="00000000">
        <w:rPr>
          <w:rtl w:val="0"/>
        </w:rPr>
      </w:r>
    </w:p>
    <w:p w:rsidR="00000000" w:rsidDel="00000000" w:rsidP="00000000" w:rsidRDefault="00000000" w:rsidRPr="00000000" w14:paraId="000000D9">
      <w:pPr>
        <w:spacing w:after="150" w:lineRule="auto"/>
        <w:ind w:left="260" w:firstLine="0"/>
        <w:rPr>
          <w:rFonts w:ascii="Arial" w:cs="Arial" w:eastAsia="Arial" w:hAnsi="Arial"/>
          <w:b w:val="1"/>
          <w:bCs w:val="1"/>
          <w:color w:val="1f3864"/>
          <w:sz w:val="17"/>
          <w:szCs w:val="17"/>
        </w:rPr>
      </w:pPr>
      <w:r w:rsidDel="00000000" w:rsidR="00000000" w:rsidRPr="00000000">
        <w:rPr>
          <w:rFonts w:ascii="Arial" w:cs="Arial" w:eastAsia="Arial" w:hAnsi="Arial"/>
          <w:b w:val="1"/>
          <w:bCs w:val="1"/>
          <w:color w:val="1f3864"/>
          <w:sz w:val="17"/>
          <w:szCs w:val="17"/>
          <w:rtl w:val="0"/>
        </w:rPr>
        <w:t xml:space="preserve">— Prawma Taposhi Khan, FCCA — Country Manager, ACCA Bangladesh, 2020</w:t>
      </w:r>
    </w:p>
    <w:p w:rsidR="00000000" w:rsidDel="00000000" w:rsidP="00000000" w:rsidRDefault="00000000" w:rsidRPr="00000000" w14:paraId="000000DA">
      <w:pPr>
        <w:pStyle w:val="Heading1"/>
        <w:pBdr>
          <w:bottom w:color="1f3864" w:space="3" w:sz="8" w:val="single"/>
        </w:pBdr>
        <w:rPr/>
      </w:pPr>
      <w:bookmarkStart w:colFirst="0" w:colLast="0" w:name="_uewwtsetthas" w:id="0"/>
      <w:bookmarkEnd w:id="0"/>
      <w:r w:rsidDel="00000000" w:rsidR="00000000" w:rsidRPr="00000000">
        <w:rPr>
          <w:rtl w:val="0"/>
        </w:rPr>
        <w:t xml:space="preserve">CORE COMPETENCIES</w:t>
      </w:r>
    </w:p>
    <w:p w:rsidR="00000000" w:rsidDel="00000000" w:rsidP="00000000" w:rsidRDefault="00000000" w:rsidRPr="00000000" w14:paraId="000000DB">
      <w:pPr>
        <w:spacing w:after="50" w:lineRule="auto"/>
        <w:rPr/>
      </w:pPr>
      <w:r w:rsidDel="00000000" w:rsidR="00000000" w:rsidRPr="00000000">
        <w:rPr>
          <w:b w:val="1"/>
          <w:bCs w:val="1"/>
          <w:color w:val="1f3864"/>
          <w:rtl w:val="0"/>
        </w:rPr>
        <w:t xml:space="preserve">Strategy &amp; Commercial — </w:t>
      </w:r>
      <w:r w:rsidDel="00000000" w:rsidR="00000000" w:rsidRPr="00000000">
        <w:rPr>
          <w:rtl w:val="0"/>
        </w:rPr>
        <w:t xml:space="preserve">Growth strategy · Go-to-market &amp; product launch · Market expansion · Pricing architecture · Corporate &amp; institutional sales · P&amp;L ownership · Business-model design · Brand strategy</w:t>
      </w:r>
    </w:p>
    <w:p w:rsidR="00000000" w:rsidDel="00000000" w:rsidP="00000000" w:rsidRDefault="00000000" w:rsidRPr="00000000" w14:paraId="000000DC">
      <w:pPr>
        <w:spacing w:after="50" w:lineRule="auto"/>
        <w:rPr/>
      </w:pPr>
      <w:r w:rsidDel="00000000" w:rsidR="00000000" w:rsidRPr="00000000">
        <w:rPr>
          <w:b w:val="1"/>
          <w:bCs w:val="1"/>
          <w:color w:val="1f3864"/>
          <w:rtl w:val="0"/>
        </w:rPr>
        <w:t xml:space="preserve">Behavioral Science &amp; Communication — </w:t>
      </w:r>
      <w:r w:rsidDel="00000000" w:rsidR="00000000" w:rsidRPr="00000000">
        <w:rPr>
          <w:rtl w:val="0"/>
        </w:rPr>
        <w:t xml:space="preserve">Health communication · Behavior-change strategy · Audience segmentation · Health promotion · Program planning &amp; evaluation · Trust &amp; adoption design · Health literacy</w:t>
      </w:r>
    </w:p>
    <w:p w:rsidR="00000000" w:rsidDel="00000000" w:rsidP="00000000" w:rsidRDefault="00000000" w:rsidRPr="00000000" w14:paraId="000000DD">
      <w:pPr>
        <w:spacing w:after="50" w:lineRule="auto"/>
        <w:rPr>
          <w:b w:val="1"/>
          <w:bCs w:val="1"/>
          <w:color w:val="1f3864"/>
          <w:sz w:val="17"/>
          <w:szCs w:val="17"/>
        </w:rPr>
      </w:pPr>
      <w:r w:rsidDel="00000000" w:rsidR="00000000" w:rsidRPr="00000000">
        <w:rPr>
          <w:b w:val="1"/>
          <w:bCs w:val="1"/>
          <w:color w:val="1f3864"/>
          <w:rtl w:val="0"/>
        </w:rPr>
        <w:t xml:space="preserve">Operations, Data &amp; Transformation — </w:t>
      </w:r>
      <w:r w:rsidDel="00000000" w:rsidR="00000000" w:rsidRPr="00000000">
        <w:rPr>
          <w:rtl w:val="0"/>
        </w:rPr>
        <w:t xml:space="preserve">ERP &amp; workflow digitization · BI / CRM &amp; analytics (ARPU, CLV, cohorting, retention) · Data-driven decision-making · Cross-functional leadership · Change management · AI-assisted workflows</w:t>
      </w:r>
      <w:r w:rsidDel="00000000" w:rsidR="00000000" w:rsidRPr="00000000">
        <w:rPr>
          <w:rtl w:val="0"/>
        </w:rPr>
      </w:r>
    </w:p>
    <w:p w:rsidR="00000000" w:rsidDel="00000000" w:rsidP="00000000" w:rsidRDefault="00000000" w:rsidRPr="00000000" w14:paraId="000000DE">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EDUCATION &amp; CREDENTIALS</w:t>
      </w:r>
      <w:r w:rsidDel="00000000" w:rsidR="00000000" w:rsidRPr="00000000">
        <w:rPr>
          <w:rtl w:val="0"/>
        </w:rPr>
      </w:r>
    </w:p>
    <w:p w:rsidR="00000000" w:rsidDel="00000000" w:rsidP="00000000" w:rsidRDefault="00000000" w:rsidRPr="00000000" w14:paraId="000000DF">
      <w:pPr>
        <w:spacing w:after="40" w:lineRule="auto"/>
        <w:rPr/>
      </w:pPr>
      <w:r w:rsidDel="00000000" w:rsidR="00000000" w:rsidRPr="00000000">
        <w:rPr>
          <w:rFonts w:ascii="Arial" w:cs="Arial" w:eastAsia="Arial" w:hAnsi="Arial"/>
          <w:b w:val="1"/>
          <w:bCs w:val="1"/>
          <w:sz w:val="19"/>
          <w:szCs w:val="19"/>
          <w:rtl w:val="0"/>
        </w:rPr>
        <w:t xml:space="preserve">Master of Public Health (MPH), Health Education &amp; Promotion — </w:t>
      </w:r>
      <w:r w:rsidDel="00000000" w:rsidR="00000000" w:rsidRPr="00000000">
        <w:rPr>
          <w:rFonts w:ascii="Arial" w:cs="Arial" w:eastAsia="Arial" w:hAnsi="Arial"/>
          <w:color w:val="595959"/>
          <w:sz w:val="19"/>
          <w:szCs w:val="19"/>
          <w:rtl w:val="0"/>
        </w:rPr>
        <w:t xml:space="preserve">Eastern Michigan University, Ypsilanti, MI — May 2026</w:t>
      </w:r>
      <w:r w:rsidDel="00000000" w:rsidR="00000000" w:rsidRPr="00000000">
        <w:rPr>
          <w:rtl w:val="0"/>
        </w:rPr>
      </w:r>
    </w:p>
    <w:p w:rsidR="00000000" w:rsidDel="00000000" w:rsidP="00000000" w:rsidRDefault="00000000" w:rsidRPr="00000000" w14:paraId="000000E0">
      <w:pPr>
        <w:spacing w:after="40" w:lineRule="auto"/>
        <w:rPr/>
      </w:pPr>
      <w:r w:rsidDel="00000000" w:rsidR="00000000" w:rsidRPr="00000000">
        <w:rPr>
          <w:rFonts w:ascii="Arial" w:cs="Arial" w:eastAsia="Arial" w:hAnsi="Arial"/>
          <w:b w:val="1"/>
          <w:bCs w:val="1"/>
          <w:sz w:val="19"/>
          <w:szCs w:val="19"/>
          <w:rtl w:val="0"/>
        </w:rPr>
        <w:t xml:space="preserve">Certified Health Education Specialist (CHES</w:t>
      </w:r>
      <w:r w:rsidDel="00000000" w:rsidR="00000000" w:rsidRPr="00000000">
        <w:rPr>
          <w:rFonts w:ascii="Arial" w:cs="Arial" w:eastAsia="Arial" w:hAnsi="Arial"/>
          <w:b w:val="1"/>
          <w:bCs w:val="1"/>
          <w:sz w:val="19"/>
          <w:szCs w:val="19"/>
          <w:vertAlign w:val="superscript"/>
          <w:rtl w:val="0"/>
        </w:rPr>
        <w:t xml:space="preserve">®</w:t>
      </w:r>
      <w:r w:rsidDel="00000000" w:rsidR="00000000" w:rsidRPr="00000000">
        <w:rPr>
          <w:rFonts w:ascii="Arial" w:cs="Arial" w:eastAsia="Arial" w:hAnsi="Arial"/>
          <w:b w:val="1"/>
          <w:bCs w:val="1"/>
          <w:sz w:val="19"/>
          <w:szCs w:val="19"/>
          <w:rtl w:val="0"/>
        </w:rPr>
        <w:t xml:space="preserve">) — </w:t>
      </w:r>
      <w:r w:rsidDel="00000000" w:rsidR="00000000" w:rsidRPr="00000000">
        <w:rPr>
          <w:rFonts w:ascii="Arial" w:cs="Arial" w:eastAsia="Arial" w:hAnsi="Arial"/>
          <w:color w:val="595959"/>
          <w:sz w:val="19"/>
          <w:szCs w:val="19"/>
          <w:rtl w:val="0"/>
        </w:rPr>
        <w:t xml:space="preserve">National Commission for Health Education Credentialing (NCHEC) — Apr 2026</w:t>
      </w:r>
      <w:r w:rsidDel="00000000" w:rsidR="00000000" w:rsidRPr="00000000">
        <w:rPr>
          <w:rtl w:val="0"/>
        </w:rPr>
      </w:r>
    </w:p>
    <w:p w:rsidR="00000000" w:rsidDel="00000000" w:rsidP="00000000" w:rsidRDefault="00000000" w:rsidRPr="00000000" w14:paraId="000000E1">
      <w:pPr>
        <w:spacing w:after="40" w:lineRule="auto"/>
        <w:rPr/>
      </w:pPr>
      <w:r w:rsidDel="00000000" w:rsidR="00000000" w:rsidRPr="00000000">
        <w:rPr>
          <w:rFonts w:ascii="Arial" w:cs="Arial" w:eastAsia="Arial" w:hAnsi="Arial"/>
          <w:b w:val="1"/>
          <w:bCs w:val="1"/>
          <w:sz w:val="19"/>
          <w:szCs w:val="19"/>
          <w:rtl w:val="0"/>
        </w:rPr>
        <w:t xml:space="preserve">MBA, Operations Management — </w:t>
      </w:r>
      <w:r w:rsidDel="00000000" w:rsidR="00000000" w:rsidRPr="00000000">
        <w:rPr>
          <w:rFonts w:ascii="Arial" w:cs="Arial" w:eastAsia="Arial" w:hAnsi="Arial"/>
          <w:color w:val="595959"/>
          <w:sz w:val="19"/>
          <w:szCs w:val="19"/>
          <w:rtl w:val="0"/>
        </w:rPr>
        <w:t xml:space="preserve">American International University–Bangladesh — 2012</w:t>
      </w:r>
      <w:r w:rsidDel="00000000" w:rsidR="00000000" w:rsidRPr="00000000">
        <w:rPr>
          <w:rtl w:val="0"/>
        </w:rPr>
      </w:r>
    </w:p>
    <w:p w:rsidR="00000000" w:rsidDel="00000000" w:rsidP="00000000" w:rsidRDefault="00000000" w:rsidRPr="00000000" w14:paraId="000000E2">
      <w:pPr>
        <w:spacing w:after="40" w:lineRule="auto"/>
        <w:rPr/>
      </w:pPr>
      <w:r w:rsidDel="00000000" w:rsidR="00000000" w:rsidRPr="00000000">
        <w:rPr>
          <w:rFonts w:ascii="Arial" w:cs="Arial" w:eastAsia="Arial" w:hAnsi="Arial"/>
          <w:b w:val="1"/>
          <w:bCs w:val="1"/>
          <w:sz w:val="19"/>
          <w:szCs w:val="19"/>
          <w:rtl w:val="0"/>
        </w:rPr>
        <w:t xml:space="preserve">BBA, Marketing — </w:t>
      </w:r>
      <w:r w:rsidDel="00000000" w:rsidR="00000000" w:rsidRPr="00000000">
        <w:rPr>
          <w:rFonts w:ascii="Arial" w:cs="Arial" w:eastAsia="Arial" w:hAnsi="Arial"/>
          <w:color w:val="595959"/>
          <w:sz w:val="19"/>
          <w:szCs w:val="19"/>
          <w:rtl w:val="0"/>
        </w:rPr>
        <w:t xml:space="preserve">American International University–Bangladesh — 2010</w:t>
      </w:r>
      <w:r w:rsidDel="00000000" w:rsidR="00000000" w:rsidRPr="00000000">
        <w:rPr>
          <w:rtl w:val="0"/>
        </w:rPr>
      </w:r>
    </w:p>
    <w:p w:rsidR="00000000" w:rsidDel="00000000" w:rsidP="00000000" w:rsidRDefault="00000000" w:rsidRPr="00000000" w14:paraId="000000E3">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PUBLISHED ARTICLES &amp; THOUGHT LEADERSHIP</w:t>
      </w:r>
      <w:r w:rsidDel="00000000" w:rsidR="00000000" w:rsidRPr="00000000">
        <w:rPr>
          <w:rtl w:val="0"/>
        </w:rPr>
      </w:r>
    </w:p>
    <w:p w:rsidR="00000000" w:rsidDel="00000000" w:rsidP="00000000" w:rsidRDefault="00000000" w:rsidRPr="00000000" w14:paraId="000000E4">
      <w:pPr>
        <w:spacing w:after="60" w:lineRule="auto"/>
        <w:rPr/>
      </w:pPr>
      <w:r w:rsidDel="00000000" w:rsidR="00000000" w:rsidRPr="00000000">
        <w:rPr>
          <w:rFonts w:ascii="Arial" w:cs="Arial" w:eastAsia="Arial" w:hAnsi="Arial"/>
          <w:b w:val="0"/>
          <w:bCs w:val="0"/>
          <w:i w:val="0"/>
          <w:iCs w:val="0"/>
          <w:color w:val="595959"/>
          <w:sz w:val="19"/>
          <w:szCs w:val="19"/>
          <w:rtl w:val="0"/>
        </w:rPr>
        <w:t xml:space="preserve">13 published health-policy and digital-health articles (newest first).</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3">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Running on Empty: America's Public Health Workforce Crisis</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Eastern Echo / WellNest Watch, 2026</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4">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Mixed Messages, Real Costs: How Confusing Health Communication Is Making America Sicker and Poorer</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Eastern Echo / WellNest Watch, 2026</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5">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Can We Use Private Healthcare to Improve Health Literacy</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The Daily Star, 2026</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6">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Increasing Public Health Investment Must Be a Top Priority</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The Daily Star, 2026</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7">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Health Policy Decisions Made Today Shape Michigan Tomorrow</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Eastern Echo, 2026</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8">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When Illness Becomes a Bill: Why Medical Debt Is a Public Health Crisis</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Eastern Echo, 2025</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29">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When We Ignore Public Health Prevention, We Pay the Price</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Eastern Echo / WellNest Watch, 2025</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30">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We Need Public Health Reform for Steady Economic Growth</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The Daily Star, 2025</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31">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Combating the Flood of Misinformation</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Dhaka Tribune, 2024</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32">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Exploring Comprehensive Digital Transformation in Bangladesh's Healthcare Sector</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ICE Business Times, 2023</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33">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Aiding Economy with Digital Health Services</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The Financial Express, 2021</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34">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Impact of Digital Health Services in the Economy</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The Financial Express, 2021</w:t>
      </w:r>
      <w:r w:rsidDel="00000000" w:rsidR="00000000" w:rsidRPr="00000000">
        <w:rPr>
          <w:rtl w:val="0"/>
        </w:rPr>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hyperlink r:id="rId35">
        <w:r w:rsidDel="00000000" w:rsidR="00000000" w:rsidRPr="00000000">
          <w:rPr>
            <w:rFonts w:ascii="Arial" w:cs="Arial" w:eastAsia="Arial" w:hAnsi="Arial"/>
            <w:b w:val="0"/>
            <w:bCs w:val="0"/>
            <w:i w:val="0"/>
            <w:iCs w:val="0"/>
            <w:smallCaps w:val="0"/>
            <w:strike w:val="0"/>
            <w:color w:val="0563c1"/>
            <w:sz w:val="18"/>
            <w:szCs w:val="18"/>
            <w:u w:val="single"/>
            <w:shd w:fill="auto" w:val="clear"/>
            <w:vertAlign w:val="baseline"/>
            <w:rtl w:val="0"/>
          </w:rPr>
          <w:t xml:space="preserve">Digital Transformation and Adaptation for Securing Businesses</w:t>
        </w:r>
      </w:hyperlink>
      <w:r w:rsidDel="00000000" w:rsidR="00000000" w:rsidRPr="00000000">
        <w:rPr>
          <w:rFonts w:ascii="Arial" w:cs="Arial" w:eastAsia="Arial" w:hAnsi="Arial"/>
          <w:b w:val="0"/>
          <w:bCs w:val="0"/>
          <w:i w:val="1"/>
          <w:iCs w:val="1"/>
          <w:smallCaps w:val="0"/>
          <w:strike w:val="0"/>
          <w:color w:val="595959"/>
          <w:sz w:val="18"/>
          <w:szCs w:val="18"/>
          <w:u w:val="none"/>
          <w:shd w:fill="auto" w:val="clear"/>
          <w:vertAlign w:val="baseline"/>
          <w:rtl w:val="0"/>
        </w:rPr>
        <w:t xml:space="preserve"> — Daily Observer, 2021</w:t>
      </w:r>
      <w:r w:rsidDel="00000000" w:rsidR="00000000" w:rsidRPr="00000000">
        <w:rPr>
          <w:rtl w:val="0"/>
        </w:rPr>
      </w:r>
    </w:p>
    <w:p w:rsidR="00000000" w:rsidDel="00000000" w:rsidP="00000000" w:rsidRDefault="00000000" w:rsidRPr="00000000" w14:paraId="000000F2">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PROFESSIONAL DEVELOPMENT &amp; OVERSEAS TRAINING</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Brand Strategy &amp; Category Management — 4-day intensive, Vietnam (Chợ Tốt / Ekhanei).</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Product Planning — 7-day program, Samsung Regional HQ, India.</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Regional Market Development Strategy — 3-day workshop, ACCA Office, Dubai.</w:t>
      </w:r>
    </w:p>
    <w:p w:rsidR="00000000" w:rsidDel="00000000" w:rsidP="00000000" w:rsidRDefault="00000000" w:rsidRPr="00000000" w14:paraId="000000F6">
      <w:pPr>
        <w:pStyle w:val="Heading1"/>
        <w:pBdr>
          <w:bottom w:color="1f3864" w:space="3" w:sz="8" w:val="single"/>
        </w:pBdr>
        <w:spacing w:after="60" w:before="240" w:lineRule="auto"/>
        <w:rPr/>
      </w:pPr>
      <w:r w:rsidDel="00000000" w:rsidR="00000000" w:rsidRPr="00000000">
        <w:rPr>
          <w:rFonts w:ascii="Arial" w:cs="Arial" w:eastAsia="Arial" w:hAnsi="Arial"/>
          <w:b w:val="1"/>
          <w:bCs w:val="1"/>
          <w:color w:val="1f3864"/>
          <w:sz w:val="26"/>
          <w:szCs w:val="26"/>
          <w:rtl w:val="0"/>
        </w:rPr>
        <w:t xml:space="preserve">PROFESSIONAL MEMBERSHIPS</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Member, Chartered Institute of Marketing (MCIM) — ID 40066640.</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Professional Member, American Marketing Association (AMA).</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40" w:lineRule="auto"/>
        <w:ind w:left="360" w:right="0" w:hanging="200"/>
        <w:jc w:val="left"/>
        <w:rPr/>
      </w:pPr>
      <w:r w:rsidDel="00000000" w:rsidR="00000000" w:rsidRPr="00000000">
        <w:rPr>
          <w:rFonts w:ascii="Arial" w:cs="Arial" w:eastAsia="Arial" w:hAnsi="Arial"/>
          <w:b w:val="0"/>
          <w:bCs w:val="0"/>
          <w:i w:val="0"/>
          <w:iCs w:val="0"/>
          <w:smallCaps w:val="0"/>
          <w:strike w:val="0"/>
          <w:color w:val="000000"/>
          <w:sz w:val="19"/>
          <w:szCs w:val="19"/>
          <w:u w:val="none"/>
          <w:shd w:fill="auto" w:val="clear"/>
          <w:vertAlign w:val="baseline"/>
          <w:rtl w:val="0"/>
        </w:rPr>
        <w:t xml:space="preserve">Student Member, Society for Public Health Education (SOPHE) — ID 79507; Student Member, American Public Health Association (APHA) — ID 11610404.</w:t>
      </w:r>
    </w:p>
    <w:sectPr>
      <w:footerReference r:id="rId36" w:type="default"/>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jc w:val="center"/>
      <w:rPr/>
    </w:pPr>
    <w:r w:rsidDel="00000000" w:rsidR="00000000" w:rsidRPr="00000000">
      <w:rPr>
        <w:rFonts w:ascii="Arial" w:cs="Arial" w:eastAsia="Arial" w:hAnsi="Arial"/>
        <w:color w:val="7f7f7f"/>
        <w:sz w:val="15"/>
        <w:szCs w:val="15"/>
        <w:rtl w:val="0"/>
      </w:rPr>
      <w:t xml:space="preserve">Md Shafaat Ali Choyon  ·  Page </w:t>
    </w:r>
    <w:r w:rsidDel="00000000" w:rsidR="00000000" w:rsidRPr="00000000">
      <w:rPr>
        <w:rFonts w:ascii="Arial" w:cs="Arial" w:eastAsia="Arial" w:hAnsi="Arial"/>
        <w:color w:val="7f7f7f"/>
        <w:sz w:val="15"/>
        <w:szCs w:val="15"/>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00"/>
      </w:pPr>
      <w:rPr/>
    </w:lvl>
    <w:lvl w:ilvl="1">
      <w:start w:val="1"/>
      <w:numFmt w:val="bullet"/>
      <w:lvlText w:val="–"/>
      <w:lvlJc w:val="left"/>
      <w:pPr>
        <w:ind w:left="720" w:hanging="20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pPr>
    <w:rPr>
      <w:rFonts w:ascii="Arial" w:cs="Arial" w:eastAsia="Arial" w:hAnsi="Arial"/>
      <w:b w:val="1"/>
      <w:bCs w:val="1"/>
      <w:i w:val="0"/>
      <w:iCs w:val="0"/>
      <w:smallCaps w:val="0"/>
      <w:strike w:val="0"/>
      <w:color w:val="1f3864"/>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3.png"/><Relationship Id="rId21" Type="http://schemas.openxmlformats.org/officeDocument/2006/relationships/image" Target="media/image12.png"/><Relationship Id="rId24" Type="http://schemas.openxmlformats.org/officeDocument/2006/relationships/hyperlink" Target="https://www.easternecho.com/article/2026/03/the-wellnest-watch-mixed-messages-real-costs-how-confusing-health-communication-is-making-america-sicker-and-poorer" TargetMode="External"/><Relationship Id="rId23" Type="http://schemas.openxmlformats.org/officeDocument/2006/relationships/hyperlink" Target="https://www.easternecho.com/article/2026/04/the-wellnest-watch-running-on-empty-america-s-public-health-workforce-crisis-and-what-it-will-cost-us-next-tim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www.thedailystar.net/opinion/views/news/increasing-public-health-investment-must-be-top-priority-4109586" TargetMode="External"/><Relationship Id="rId25" Type="http://schemas.openxmlformats.org/officeDocument/2006/relationships/hyperlink" Target="https://www.thedailystar.net/opinion/views/news/can-we-use-private-healthcare-improve-health-literacy-4126746" TargetMode="External"/><Relationship Id="rId28" Type="http://schemas.openxmlformats.org/officeDocument/2006/relationships/hyperlink" Target="https://www.easternecho.com/article/2025/12/when-illness-becomes-a-bill-why-medical-debt-is-a-public-health-crisis" TargetMode="External"/><Relationship Id="rId27" Type="http://schemas.openxmlformats.org/officeDocument/2006/relationships/hyperlink" Target="https://www.easternecho.com/article/2026/02/health-policy-decisions-made-today-shape-michigan-tomorrow" TargetMode="External"/><Relationship Id="rId5" Type="http://schemas.openxmlformats.org/officeDocument/2006/relationships/styles" Target="styles.xml"/><Relationship Id="rId6" Type="http://schemas.openxmlformats.org/officeDocument/2006/relationships/hyperlink" Target="https://linkedin.com/in/sacgrowthspecialist/" TargetMode="External"/><Relationship Id="rId29" Type="http://schemas.openxmlformats.org/officeDocument/2006/relationships/hyperlink" Target="https://www.easternecho.com/article/2025/11/the-wellnest-watch-when-we-ignore-public-health-prevention-we-pay-the-price" TargetMode="External"/><Relationship Id="rId7" Type="http://schemas.openxmlformats.org/officeDocument/2006/relationships/image" Target="media/image6.png"/><Relationship Id="rId8" Type="http://schemas.openxmlformats.org/officeDocument/2006/relationships/image" Target="media/image15.png"/><Relationship Id="rId31" Type="http://schemas.openxmlformats.org/officeDocument/2006/relationships/hyperlink" Target="https://www.dhakatribune.com/opinion/op-ed/364000/combating-the-flood-of-misinformation" TargetMode="External"/><Relationship Id="rId30" Type="http://schemas.openxmlformats.org/officeDocument/2006/relationships/hyperlink" Target="https://www.thedailystar.net/opinion/views/news/we-need-public-health-reform-steady-economic-growth-3816886" TargetMode="External"/><Relationship Id="rId11" Type="http://schemas.openxmlformats.org/officeDocument/2006/relationships/image" Target="media/image2.png"/><Relationship Id="rId33" Type="http://schemas.openxmlformats.org/officeDocument/2006/relationships/hyperlink" Target="https://old.thefinancialexpress.com.bd/views/aiding-economy-with-digital-health-services-1614361817" TargetMode="External"/><Relationship Id="rId10" Type="http://schemas.openxmlformats.org/officeDocument/2006/relationships/image" Target="media/image9.png"/><Relationship Id="rId32" Type="http://schemas.openxmlformats.org/officeDocument/2006/relationships/hyperlink" Target="https://ibtbd.net/healthtech-horizons/" TargetMode="External"/><Relationship Id="rId13" Type="http://schemas.openxmlformats.org/officeDocument/2006/relationships/image" Target="media/image1.png"/><Relationship Id="rId35" Type="http://schemas.openxmlformats.org/officeDocument/2006/relationships/hyperlink" Target="https://www.observerbd.com/news.php?id=299498" TargetMode="External"/><Relationship Id="rId12" Type="http://schemas.openxmlformats.org/officeDocument/2006/relationships/image" Target="media/image4.png"/><Relationship Id="rId34" Type="http://schemas.openxmlformats.org/officeDocument/2006/relationships/hyperlink" Target="https://thefinancialexpress.com.bd/views/opinions/impact-of-digital-health-services-in-the-economy-1614141812" TargetMode="External"/><Relationship Id="rId15" Type="http://schemas.openxmlformats.org/officeDocument/2006/relationships/image" Target="media/image7.png"/><Relationship Id="rId14" Type="http://schemas.openxmlformats.org/officeDocument/2006/relationships/image" Target="media/image16.png"/><Relationship Id="rId36" Type="http://schemas.openxmlformats.org/officeDocument/2006/relationships/footer" Target="footer1.xml"/><Relationship Id="rId17" Type="http://schemas.openxmlformats.org/officeDocument/2006/relationships/image" Target="media/image14.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