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40"/>
          <w:szCs w:val="40"/>
        </w:rPr>
        <w:t xml:space="preserve">Visualization Guide</w:t>
      </w:r>
    </w:p>
    <w:p>
      <w:pPr>
        <w:spacing w:after="80" w:before="0"/>
        <w:jc w:val="center"/>
      </w:pPr>
      <w:r>
        <w:rPr>
          <w:color w:val="444444"/>
          <w:sz w:val="28"/>
          <w:szCs w:val="28"/>
        </w:rPr>
        <w:t xml:space="preserve">Tie-Breaker Analysis · 118th U.S. Congress</w:t>
      </w:r>
    </w:p>
    <w:p>
      <w:pPr>
        <w:spacing w:after="480" w:before="0"/>
        <w:jc w:val="center"/>
      </w:pPr>
      <w:r>
        <w:rPr>
          <w:i/>
          <w:iCs/>
          <w:color w:val="666666"/>
          <w:sz w:val="22"/>
          <w:szCs w:val="22"/>
        </w:rPr>
        <w:t xml:space="preserve">CSC240 Final Project  ·  Aiden Hughes, Mahathir Khan, Shafayet Fahim</w:t>
      </w:r>
    </w:p>
    <w:p>
      <w:pPr>
        <w:spacing w:after="400" w:before="0"/>
      </w:pPr>
      <w:r>
        <w:rPr>
          <w:sz w:val="22"/>
          <w:szCs w:val="22"/>
        </w:rPr>
        <w:t xml:space="preserve">This document describes the purpose, construction, and analytical interpretation of each of the 10 visualizations generated by the tiebreaker_analysis.py script. Each plot is designed to address one or more of the project's core research questions: identifying consistent tie-breakers, detecting tie-breaker coalitions, and predicting legislative outcomes.</w:t>
      </w:r>
    </w:p>
    <w:p>
      <w:pPr>
        <w:pStyle w:val="Heading1"/>
        <w:spacing w:after="80" w:before="360"/>
      </w:pPr>
      <w:r>
        <w:rPr>
          <w:b/>
          <w:bCs/>
          <w:sz w:val="28"/>
          <w:szCs w:val="28"/>
        </w:rPr>
        <w:t xml:space="preserve">Plot 1 · Vote Margin Distribution</w:t>
      </w:r>
    </w:p>
    <w:p>
      <w:pPr>
        <w:spacing w:after="160" w:before="0"/>
      </w:pPr>
      <w:r>
        <w:rPr>
          <w:i/>
          <w:iCs/>
          <w:color w:val="555555"/>
          <w:sz w:val="22"/>
          <w:szCs w:val="22"/>
        </w:rPr>
        <w:t xml:space="preserve">Histogram — Absolute Margin of Victory for All Roll Calls</w:t>
      </w:r>
    </w:p>
    <w:p>
      <w:pPr>
        <w:spacing w:after="160" w:before="0"/>
      </w:pPr>
      <w:r>
        <w:rPr>
          <w:sz w:val="22"/>
          <w:szCs w:val="22"/>
        </w:rPr>
        <w:t xml:space="preserve">This histogram plots the absolute difference between Yea and Nay counts (|Yea − Nay|) for every roll call in the selected chamber. The x-axis represents the margin of victory, and the y-axis shows how many roll calls fall in each bin.</w:t>
      </w:r>
    </w:p>
    <w:p>
      <w:pPr>
        <w:spacing w:after="160" w:before="0"/>
      </w:pPr>
      <w:r>
        <w:rPr>
          <w:sz w:val="22"/>
          <w:szCs w:val="22"/>
        </w:rPr>
        <w:t xml:space="preserve">A vertical dashed red line marks the bottom 10th-percentile threshold — the cutoff the script uses to classify a roll call as a "Close Vote." Any bill whose margin falls to the left of this line is treated as potentially decided by a small number of swing voters.</w:t>
      </w:r>
    </w:p>
    <w:p>
      <w:pPr>
        <w:spacing w:after="160" w:before="0"/>
      </w:pPr>
      <w:r>
        <w:rPr>
          <w:sz w:val="22"/>
          <w:szCs w:val="22"/>
        </w:rPr>
        <w:t xml:space="preserve">Analytical purpose: Establishes the empirical distribution of legislative competitiveness. A right-skewed distribution (most votes decided easily, a long tail of close ones) validates the project's premise that a small minority of bills are genuinely contested and thus susceptible to tie-breaking behavior.</w:t>
      </w:r>
    </w:p>
    <w:p>
      <w:pPr>
        <w:pBdr>
          <w:bottom w:val="single" w:color="CCCCCC" w:sz="4" w:space="1"/>
        </w:pBdr>
        <w:spacing w:after="80" w:before="80"/>
      </w:pPr>
    </w:p>
    <w:p>
      <w:pPr>
        <w:pStyle w:val="Heading1"/>
        <w:spacing w:after="80" w:before="360"/>
      </w:pPr>
      <w:r>
        <w:rPr>
          <w:b/>
          <w:bCs/>
          <w:sz w:val="28"/>
          <w:szCs w:val="28"/>
        </w:rPr>
        <w:t xml:space="preserve">Plot 2 · Party Loyalty vs. Ideological Position</w:t>
      </w:r>
    </w:p>
    <w:p>
      <w:pPr>
        <w:spacing w:after="160" w:before="0"/>
      </w:pPr>
      <w:r>
        <w:rPr>
          <w:i/>
          <w:iCs/>
          <w:color w:val="555555"/>
          <w:sz w:val="22"/>
          <w:szCs w:val="22"/>
        </w:rPr>
        <w:t xml:space="preserve">Scatter Plot — DW-NOMINATE Dim 1 vs. Party Loyalty %</w:t>
      </w:r>
    </w:p>
    <w:p>
      <w:pPr>
        <w:spacing w:after="160" w:before="0"/>
      </w:pPr>
      <w:r>
        <w:rPr>
          <w:sz w:val="22"/>
          <w:szCs w:val="22"/>
        </w:rPr>
        <w:t xml:space="preserve">Each point is one representative. The x-axis is their first-dimension DW-NOMINATE score — a standard political-science measure where negative values indicate liberal positions and positive values indicate conservative ones. The y-axis is their overall party-loyalty percentage across all Yea/Nay roll calls.</w:t>
      </w:r>
    </w:p>
    <w:p>
      <w:pPr>
        <w:spacing w:after="160" w:before="0"/>
      </w:pPr>
      <w:r>
        <w:rPr>
          <w:sz w:val="22"/>
          <w:szCs w:val="22"/>
        </w:rPr>
        <w:t xml:space="preserve">Points are colored by party: blue for Democrats, red for Republicans. A horizontal dotted reference line at 90 % marks the conventional threshold for a "reliable" party voter.</w:t>
      </w:r>
    </w:p>
    <w:p>
      <w:pPr>
        <w:spacing w:after="160" w:before="0"/>
      </w:pPr>
      <w:r>
        <w:rPr>
          <w:sz w:val="22"/>
          <w:szCs w:val="22"/>
        </w:rPr>
        <w:t xml:space="preserve">Analytical purpose: Reveals whether ideological extremism correlates with party loyalty (it generally does) and, crucially, identifies moderates — members near 0 on the x-axis — who also have lower loyalty scores. These moderates are the natural candidates for tie-breaker status and should appear as a cluster of low-loyalty, centrist points on the scatter.</w:t>
      </w:r>
    </w:p>
    <w:p>
      <w:pPr>
        <w:pBdr>
          <w:bottom w:val="single" w:color="CCCCCC" w:sz="4" w:space="1"/>
        </w:pBdr>
        <w:spacing w:after="80" w:before="80"/>
      </w:pPr>
    </w:p>
    <w:p>
      <w:pPr>
        <w:pStyle w:val="Heading1"/>
        <w:spacing w:after="80" w:before="360"/>
      </w:pPr>
      <w:r>
        <w:rPr>
          <w:b/>
          <w:bCs/>
          <w:sz w:val="28"/>
          <w:szCs w:val="28"/>
        </w:rPr>
        <w:t xml:space="preserve">Plot 3 · Top 15 Tie-Breakers</w:t>
      </w:r>
    </w:p>
    <w:p>
      <w:pPr>
        <w:spacing w:after="160" w:before="0"/>
      </w:pPr>
      <w:r>
        <w:rPr>
          <w:i/>
          <w:iCs/>
          <w:color w:val="555555"/>
          <w:sz w:val="22"/>
          <w:szCs w:val="22"/>
        </w:rPr>
        <w:t xml:space="preserve">Horizontal Bar Chart — Highest Cross-Party Rate on Close Votes</w:t>
      </w:r>
    </w:p>
    <w:p>
      <w:pPr>
        <w:spacing w:after="160" w:before="0"/>
      </w:pPr>
      <w:r>
        <w:rPr>
          <w:sz w:val="22"/>
          <w:szCs w:val="22"/>
        </w:rPr>
        <w:t xml:space="preserve">This chart ranks the 15 representatives who most frequently voted against their party's majority specifically on close-vote roll calls. The bar length encodes the percentage of qualifying close votes in which the member defected from their party. Bar color indicates party affiliation. Only members with at least five close-vote appearances are eligible.</w:t>
      </w:r>
    </w:p>
    <w:p>
      <w:pPr>
        <w:spacing w:after="160" w:before="0"/>
      </w:pPr>
      <w:r>
        <w:rPr>
          <w:sz w:val="22"/>
          <w:szCs w:val="22"/>
        </w:rPr>
        <w:t xml:space="preserve">Analytical purpose: Directly answers the first research question — "Are there specific representatives who are consistently tie-breakers?" The chart surfaces the names, parties, and defection rates of the most consequential swing voters. A high bar suggests the member routinely provides the deciding vote in contested legislation, making them a high-value target for political action committees and constituency analysis.</w:t>
      </w:r>
    </w:p>
    <w:p>
      <w:pPr>
        <w:pBdr>
          <w:bottom w:val="single" w:color="CCCCCC" w:sz="4" w:space="1"/>
        </w:pBdr>
        <w:spacing w:after="80" w:before="80"/>
      </w:pPr>
    </w:p>
    <w:p>
      <w:pPr>
        <w:pStyle w:val="Heading1"/>
        <w:spacing w:after="80" w:before="360"/>
      </w:pPr>
      <w:r>
        <w:rPr>
          <w:b/>
          <w:bCs/>
          <w:sz w:val="28"/>
          <w:szCs w:val="28"/>
        </w:rPr>
        <w:t xml:space="preserve">Plot 4 · Party Unity Over Time</w:t>
      </w:r>
    </w:p>
    <w:p>
      <w:pPr>
        <w:spacing w:after="160" w:before="0"/>
      </w:pPr>
      <w:r>
        <w:rPr>
          <w:i/>
          <w:iCs/>
          <w:color w:val="555555"/>
          <w:sz w:val="22"/>
          <w:szCs w:val="22"/>
        </w:rPr>
        <w:t xml:space="preserve">Line Chart — Rolling 50-Vote Party-Line Rate</w:t>
      </w:r>
    </w:p>
    <w:p>
      <w:pPr>
        <w:spacing w:after="160" w:before="0"/>
      </w:pPr>
      <w:r>
        <w:rPr>
          <w:sz w:val="22"/>
          <w:szCs w:val="22"/>
        </w:rPr>
        <w:t xml:space="preserve">A roll call is labeled a "party-line vote" if at least 90 % of each major party votes as a bloc (all Yea or all Nay within the party). The chart plots a rolling 50-vote window of this rate against the chronological roll-call number, which serves as a proxy for time. The shaded area beneath the line emphasizes trend magnitude.</w:t>
      </w:r>
    </w:p>
    <w:p>
      <w:pPr>
        <w:spacing w:after="160" w:before="0"/>
      </w:pPr>
      <w:r>
        <w:rPr>
          <w:sz w:val="22"/>
          <w:szCs w:val="22"/>
        </w:rPr>
        <w:t xml:space="preserve">Analytical purpose: Tracks how polarized the chamber is over the legislative session. Spikes near 100 % indicate periods of high partisan cohesion; dips reveal episodes of cross-aisle cooperation or internal dissent. Tie-breakers are by definition most relevant when the party-line rate is lower — the chart allows researchers to align specific legislation with periods of legislative fluidity.</w:t>
      </w:r>
    </w:p>
    <w:p>
      <w:pPr>
        <w:pBdr>
          <w:bottom w:val="single" w:color="CCCCCC" w:sz="4" w:space="1"/>
        </w:pBdr>
        <w:spacing w:after="80" w:before="80"/>
      </w:pPr>
    </w:p>
    <w:p>
      <w:pPr>
        <w:pStyle w:val="Heading1"/>
        <w:spacing w:after="80" w:before="360"/>
      </w:pPr>
      <w:r>
        <w:rPr>
          <w:b/>
          <w:bCs/>
          <w:sz w:val="28"/>
          <w:szCs w:val="28"/>
        </w:rPr>
        <w:t xml:space="preserve">Plot 5 · Tie-Breaker Voting-Similarity Heatmap</w:t>
      </w:r>
    </w:p>
    <w:p>
      <w:pPr>
        <w:spacing w:after="160" w:before="0"/>
      </w:pPr>
      <w:r>
        <w:rPr>
          <w:i/>
          <w:iCs/>
          <w:color w:val="555555"/>
          <w:sz w:val="22"/>
          <w:szCs w:val="22"/>
        </w:rPr>
        <w:t xml:space="preserve">Heatmap — Pairwise Vote Agreement Among Top 10 Tie-Breakers on Close Votes</w:t>
      </w:r>
    </w:p>
    <w:p>
      <w:pPr>
        <w:spacing w:after="160" w:before="0"/>
      </w:pPr>
      <w:r>
        <w:rPr>
          <w:sz w:val="22"/>
          <w:szCs w:val="22"/>
        </w:rPr>
        <w:t xml:space="preserve">Each cell shows the fraction of close-vote roll calls on which two members cast the same vote (both Yea or both Nay). The diagonal is always 1.0 (perfect self-agreement). Cells trend from red (low agreement, frequent opposition) through yellow to green (high agreement, frequent alignment).</w:t>
      </w:r>
    </w:p>
    <w:p>
      <w:pPr>
        <w:spacing w:after="160" w:before="0"/>
      </w:pPr>
      <w:r>
        <w:rPr>
          <w:sz w:val="22"/>
          <w:szCs w:val="22"/>
        </w:rPr>
        <w:t xml:space="preserve">Analytical purpose: Directly addresses the second research question — "Do these tie-breakers have coalitions with other tie-breakers?" Clusters of high-agreement cells reveal informal voting blocs among moderate members who cross party lines together. Such coalitions could represent a Politico-model sub-caucus that is ideologically driven rather than partisan. The pattern also helps the BOAT classifier identify correlated features when predicting roll-call outcomes.</w:t>
      </w:r>
    </w:p>
    <w:p>
      <w:pPr>
        <w:pBdr>
          <w:bottom w:val="single" w:color="CCCCCC" w:sz="4" w:space="1"/>
        </w:pBdr>
        <w:spacing w:after="80" w:before="80"/>
      </w:pPr>
    </w:p>
    <w:p>
      <w:pPr>
        <w:pStyle w:val="Heading1"/>
        <w:spacing w:after="80" w:before="360"/>
      </w:pPr>
      <w:r>
        <w:rPr>
          <w:b/>
          <w:bCs/>
          <w:sz w:val="28"/>
          <w:szCs w:val="28"/>
        </w:rPr>
        <w:t xml:space="preserve">Plot 6 · Ideological Distribution (KDE)</w:t>
      </w:r>
    </w:p>
    <w:p>
      <w:pPr>
        <w:spacing w:after="160" w:before="0"/>
      </w:pPr>
      <w:r>
        <w:rPr>
          <w:i/>
          <w:iCs/>
          <w:color w:val="555555"/>
          <w:sz w:val="22"/>
          <w:szCs w:val="22"/>
        </w:rPr>
        <w:t xml:space="preserve">Kernel Density Estimate — DW-NOMINATE Dim 1 for Both Parties</w:t>
      </w:r>
    </w:p>
    <w:p>
      <w:pPr>
        <w:spacing w:after="160" w:before="0"/>
      </w:pPr>
      <w:r>
        <w:rPr>
          <w:sz w:val="22"/>
          <w:szCs w:val="22"/>
        </w:rPr>
        <w:t xml:space="preserve">This plot draws smooth probability-density curves for the ideological scores of all Democrats (blue) and all Republicans (red) in the chamber. Overlapping area between the two curves marks the ideological middle ground. Thin vertical dotted lines indicate where each of the Top-15 tie-breakers sits on the spectrum.</w:t>
      </w:r>
    </w:p>
    <w:p>
      <w:pPr>
        <w:spacing w:after="160" w:before="0"/>
      </w:pPr>
      <w:r>
        <w:rPr>
          <w:sz w:val="22"/>
          <w:szCs w:val="22"/>
        </w:rPr>
        <w:t xml:space="preserve">Analytical purpose: Visualizes the "moderate middle" hypothesis — the expectation that tie-breakers occupy the overlap zone between the two partisan distributions. If the dotted lines are concentrated in the overlap region, this confirms that cross-party voting is predominantly a centrist phenomenon. Alternatively, if outliers appear far into either party's territory, the analysis must account for non-ideological drivers of defection (e.g., local constituent pressure or specific policy domains).</w:t>
      </w:r>
    </w:p>
    <w:p>
      <w:pPr>
        <w:pBdr>
          <w:bottom w:val="single" w:color="CCCCCC" w:sz="4" w:space="1"/>
        </w:pBdr>
        <w:spacing w:after="80" w:before="80"/>
      </w:pPr>
    </w:p>
    <w:p>
      <w:pPr>
        <w:pStyle w:val="Heading1"/>
        <w:spacing w:after="80" w:before="360"/>
      </w:pPr>
      <w:r>
        <w:rPr>
          <w:b/>
          <w:bCs/>
          <w:sz w:val="28"/>
          <w:szCs w:val="28"/>
        </w:rPr>
        <w:t xml:space="preserve">Plot 7 · Tie-Breaker Win Rate</w:t>
      </w:r>
    </w:p>
    <w:p>
      <w:pPr>
        <w:spacing w:after="160" w:before="0"/>
      </w:pPr>
      <w:r>
        <w:rPr>
          <w:i/>
          <w:iCs/>
          <w:color w:val="555555"/>
          <w:sz w:val="22"/>
          <w:szCs w:val="22"/>
        </w:rPr>
        <w:t xml:space="preserve">Bar Chart — % of Cross-Party Close Votes on the Winning Side</w:t>
      </w:r>
    </w:p>
    <w:p>
      <w:pPr>
        <w:spacing w:after="160" w:before="0"/>
      </w:pPr>
      <w:r>
        <w:rPr>
          <w:sz w:val="22"/>
          <w:szCs w:val="22"/>
        </w:rPr>
        <w:t xml:space="preserve">For each of the top tie-breakers, this chart shows the percentage of their cross-party close-vote defections where the vote ultimately passed in the direction they voted (i.e., they were on the winning side). A 50 % dashed reference line marks chance-level performance.</w:t>
      </w:r>
    </w:p>
    <w:p>
      <w:pPr>
        <w:spacing w:after="160" w:before="0"/>
      </w:pPr>
      <w:r>
        <w:rPr>
          <w:sz w:val="22"/>
          <w:szCs w:val="22"/>
        </w:rPr>
        <w:t xml:space="preserve">Analytical purpose: Moves beyond counting defections to assessing their impact. A win rate well above 50 % means the member does not merely vote differently — their defection actually accompanies legislative victory, suggesting they are genuinely decisive swing votes ("clutch" defectors). A win rate near or below 50 % suggests symbolic protest votes that rarely prevail. This metric is the closest proxy available in this dataset to measuring real legislative power.</w:t>
      </w:r>
    </w:p>
    <w:p>
      <w:pPr>
        <w:pBdr>
          <w:bottom w:val="single" w:color="CCCCCC" w:sz="4" w:space="1"/>
        </w:pBdr>
        <w:spacing w:after="80" w:before="80"/>
      </w:pPr>
    </w:p>
    <w:p>
      <w:pPr>
        <w:pStyle w:val="Heading1"/>
        <w:spacing w:after="80" w:before="360"/>
      </w:pPr>
      <w:r>
        <w:rPr>
          <w:b/>
          <w:bCs/>
          <w:sz w:val="28"/>
          <w:szCs w:val="28"/>
        </w:rPr>
        <w:t xml:space="preserve">Plot 8 · Average Vote Margin by Question Type</w:t>
      </w:r>
    </w:p>
    <w:p>
      <w:pPr>
        <w:spacing w:after="160" w:before="0"/>
      </w:pPr>
      <w:r>
        <w:rPr>
          <w:i/>
          <w:iCs/>
          <w:color w:val="555555"/>
          <w:sz w:val="22"/>
          <w:szCs w:val="22"/>
        </w:rPr>
        <w:t xml:space="preserve">Bar Chart — Mean |Yea − Nay| for Each vote_question Category</w:t>
      </w:r>
    </w:p>
    <w:p>
      <w:pPr>
        <w:spacing w:after="160" w:before="0"/>
      </w:pPr>
      <w:r>
        <w:rPr>
          <w:sz w:val="22"/>
          <w:szCs w:val="22"/>
        </w:rPr>
        <w:t xml:space="preserve">Roll calls are grouped by their vote_question field (e.g., "On Passage," "On the Amendment," "On Motion to Table"). The bar height shows the average absolute margin within each category. Small n-counts are annotated atop each bar; only categories with at least 10 roll calls are included.</w:t>
      </w:r>
    </w:p>
    <w:p>
      <w:pPr>
        <w:spacing w:after="160" w:before="0"/>
      </w:pPr>
      <w:r>
        <w:rPr>
          <w:sz w:val="22"/>
          <w:szCs w:val="22"/>
        </w:rPr>
        <w:t xml:space="preserve">Analytical purpose: Tests whether certain types of legislative proceedings are structurally more contested than others. If amendments consistently show smaller margins than final-passage votes, tie-breaker influence is disproportionately concentrated in the amendment phase — a finding with direct implications for political strategy and for which roll-call types the BOAT classifier should weight most heavily in its training set.</w:t>
      </w:r>
    </w:p>
    <w:p>
      <w:pPr>
        <w:pBdr>
          <w:bottom w:val="single" w:color="CCCCCC" w:sz="4" w:space="1"/>
        </w:pBdr>
        <w:spacing w:after="80" w:before="80"/>
      </w:pPr>
    </w:p>
    <w:p>
      <w:pPr>
        <w:pStyle w:val="Heading1"/>
        <w:spacing w:after="80" w:before="360"/>
      </w:pPr>
      <w:r>
        <w:rPr>
          <w:b/>
          <w:bCs/>
          <w:sz w:val="28"/>
          <w:szCs w:val="28"/>
        </w:rPr>
        <w:t xml:space="preserve">Plot 9 · Geographic Concentration of Tie-Breakers</w:t>
      </w:r>
    </w:p>
    <w:p>
      <w:pPr>
        <w:spacing w:after="160" w:before="0"/>
      </w:pPr>
      <w:r>
        <w:rPr>
          <w:i/>
          <w:iCs/>
          <w:color w:val="555555"/>
          <w:sz w:val="22"/>
          <w:szCs w:val="22"/>
        </w:rPr>
        <w:t xml:space="preserve">Bar Chart — Home States of the Top 15 Tie-Breakers</w:t>
      </w:r>
    </w:p>
    <w:p>
      <w:pPr>
        <w:spacing w:after="160" w:before="0"/>
      </w:pPr>
      <w:r>
        <w:rPr>
          <w:sz w:val="22"/>
          <w:szCs w:val="22"/>
        </w:rPr>
        <w:t xml:space="preserve">Each bar represents a U.S. state and its height is the count of Top-15 tie-breakers who represent a district in that state. States with no tie-breakers in the top 15 are absent from the chart.</w:t>
      </w:r>
    </w:p>
    <w:p>
      <w:pPr>
        <w:spacing w:after="160" w:before="0"/>
      </w:pPr>
      <w:r>
        <w:rPr>
          <w:sz w:val="22"/>
          <w:szCs w:val="22"/>
        </w:rPr>
        <w:t xml:space="preserve">Analytical purpose: Addresses the sub-question of who tie-breakers collectively represent. Geographic concentration could indicate that districts with particular economic profiles (swing states, purple districts, or states with competitive Senate seats) systematically produce representatives who vote across party lines. This finding would be relevant to the proposal's goal of helping constituents determine which model of representation — Trustee, Delegate, Partisan, or Politico — their member embodies.</w:t>
      </w:r>
    </w:p>
    <w:p>
      <w:pPr>
        <w:pBdr>
          <w:bottom w:val="single" w:color="CCCCCC" w:sz="4" w:space="1"/>
        </w:pBdr>
        <w:spacing w:after="80" w:before="80"/>
      </w:pPr>
    </w:p>
    <w:p>
      <w:pPr>
        <w:pStyle w:val="Heading1"/>
        <w:spacing w:after="80" w:before="360"/>
      </w:pPr>
      <w:r>
        <w:rPr>
          <w:b/>
          <w:bCs/>
          <w:sz w:val="28"/>
          <w:szCs w:val="28"/>
        </w:rPr>
        <w:t xml:space="preserve">Plot 10 · "Clutch" Factor</w:t>
      </w:r>
    </w:p>
    <w:p>
      <w:pPr>
        <w:spacing w:after="160" w:before="0"/>
      </w:pPr>
      <w:r>
        <w:rPr>
          <w:i/>
          <w:iCs/>
          <w:color w:val="555555"/>
          <w:sz w:val="22"/>
          <w:szCs w:val="22"/>
        </w:rPr>
        <w:t xml:space="preserve">Scatter Plot — Blowout Loyalty vs. Overall Loyalty (Top-15 Annotated)</w:t>
      </w:r>
    </w:p>
    <w:p>
      <w:pPr>
        <w:spacing w:after="160" w:before="0"/>
      </w:pPr>
      <w:r>
        <w:rPr>
          <w:sz w:val="22"/>
          <w:szCs w:val="22"/>
        </w:rPr>
        <w:t xml:space="preserve">Each point is one representative. The x-axis measures party loyalty on blowout votes (the top 50 % by margin — safe, non-competitive roll calls). The y-axis measures overall party loyalty across all votes. Top-15 tie-breakers are highlighted with black-outlined markers and labeled by last name. A diagonal y = x dashed line separates members who are more loyal in blowouts than in close votes (above the line) from those who are equally or less loyal across all vote types (on/below the line).</w:t>
      </w:r>
    </w:p>
    <w:p>
      <w:pPr>
        <w:spacing w:after="160" w:before="0"/>
      </w:pPr>
      <w:r>
        <w:rPr>
          <w:sz w:val="22"/>
          <w:szCs w:val="22"/>
        </w:rPr>
        <w:t xml:space="preserve">Analytical purpose: Distinguishes two archetypes of dissenters. A member whose point sits far below the diagonal is a "strategic defector" — highly loyal when the outcome is not in doubt (blowout votes) but willing to break ranks precisely when their vote matters most (close votes). This is the defining behavioral signature of a true tie-breaker in the Politico or Trustee model. By contrast, a member below the diagonal on both axes is a general non-conformist. The scatter thus lets researchers and classifiers distinguish principled swing behavior from chronic partisan unreliability.</w:t>
      </w:r>
    </w:p>
    <w:p>
      <w:pPr>
        <w:pBdr>
          <w:bottom w:val="single" w:color="CCCCCC" w:sz="4" w:space="1"/>
        </w:pBd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3c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2026-04-26T10:25:44.960Z</dcterms:created>
  <dcterms:modified xsi:type="dcterms:W3CDTF">2026-04-26T10:25:44.961Z</dcterms:modified>
</cp:coreProperties>
</file>

<file path=docProps/custom.xml><?xml version="1.0" encoding="utf-8"?>
<Properties xmlns="http://schemas.openxmlformats.org/officeDocument/2006/custom-properties" xmlns:vt="http://schemas.openxmlformats.org/officeDocument/2006/docPropsVTypes"/>
</file>