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40"/>
        <w:jc w:val="center"/>
        <w:rPr>
          <w:b/>
          <w:bCs/>
          <w:sz w:val="24"/>
          <w:szCs w:val="24"/>
          <w:highlight w:val="none"/>
          <w:shd w:fill="FFFFFF" w:val="clear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709" w:footer="0" w:bottom="851"/>
          <w:pgNumType w:start="1" w:fmt="decimal"/>
          <w:formProt w:val="false"/>
          <w:titlePg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spacing w:lineRule="auto" w:line="360" w:before="0" w:after="0"/>
        <w:ind w:start="0" w:end="0"/>
        <w:jc w:val="center"/>
        <w:rPr/>
      </w:pPr>
      <w:r>
        <w:rPr>
          <w:rFonts w:cs="Times New Roman"/>
          <w:b/>
          <w:i w:val="false"/>
          <w:color w:val="000000"/>
          <w:sz w:val="28"/>
        </w:rPr>
        <w:t>СОДЕРЖАНИЕ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ВВЕДЕНИЕ</w:t>
        <w:tab/>
      </w:r>
      <w:r>
        <w:rPr>
          <w:rFonts w:cs="Times New Roman"/>
          <w:sz w:val="28"/>
        </w:rPr>
        <w:t>3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1 РТУ МИРЭА</w:t>
        <w:tab/>
      </w:r>
      <w:r>
        <w:rPr>
          <w:rFonts w:cs="Times New Roman"/>
          <w:sz w:val="28"/>
        </w:rPr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1.1 Характеристика РТУ МИРЭА и кафедры автоматических систем</w:t>
        <w:tab/>
      </w:r>
      <w:r>
        <w:rPr>
          <w:rFonts w:cs="Times New Roman"/>
          <w:sz w:val="28"/>
        </w:rPr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2 Теоретическое введение</w:t>
        <w:tab/>
      </w:r>
      <w:r>
        <w:rPr>
          <w:rFonts w:cs="Times New Roman"/>
          <w:sz w:val="28"/>
        </w:rPr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2.1 Векторное представление текста как задача</w:t>
        <w:tab/>
      </w:r>
      <w:r>
        <w:rPr>
          <w:rFonts w:cs="Times New Roman"/>
          <w:sz w:val="28"/>
        </w:rPr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2.2 Латентно-семантический анализ (LSA)</w:t>
        <w:tab/>
      </w:r>
      <w:r>
        <w:rPr>
          <w:rFonts w:cs="Times New Roman"/>
          <w:sz w:val="28"/>
        </w:rPr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2.3 Модели на основе архитектуры Transformer</w:t>
        <w:tab/>
      </w:r>
      <w:r>
        <w:rPr>
          <w:rFonts w:cs="Times New Roman"/>
          <w:sz w:val="28"/>
        </w:rPr>
        <w:t>8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3 Обзор источников</w:t>
        <w:tab/>
      </w:r>
      <w:r>
        <w:rPr>
          <w:rFonts w:cs="Times New Roman"/>
          <w:sz w:val="28"/>
        </w:rPr>
        <w:t>9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4 Математическое описание моделей</w:t>
        <w:tab/>
      </w:r>
      <w:r>
        <w:rPr>
          <w:rFonts w:cs="Times New Roman"/>
          <w:sz w:val="28"/>
        </w:rPr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4.1 Латентно-семантический анализ (LSA)</w:t>
        <w:tab/>
      </w:r>
      <w:r>
        <w:rPr>
          <w:rFonts w:cs="Times New Roman"/>
          <w:sz w:val="28"/>
        </w:rPr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4.2 Модель all-MiniLM-L6-v2</w:t>
        <w:tab/>
      </w:r>
      <w:r>
        <w:rPr>
          <w:rFonts w:cs="Times New Roman"/>
          <w:sz w:val="28"/>
        </w:rPr>
        <w:t>11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5 Методология численного эксперимента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5.1 Цель эксперимента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5.2 Спецификация моделей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5.3 Датасеты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5.4 Интринсивные метрики</w:t>
        <w:tab/>
      </w:r>
      <w:r>
        <w:rPr>
          <w:rFonts w:cs="Times New Roman"/>
          <w:sz w:val="28"/>
        </w:rPr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283"/>
        <w:jc w:val="start"/>
        <w:rPr/>
      </w:pPr>
      <w:r>
        <w:rPr>
          <w:rFonts w:cs="Times New Roman"/>
          <w:b w:val="false"/>
          <w:color w:val="000000"/>
          <w:sz w:val="28"/>
        </w:rPr>
        <w:t>5.5 Экстринсивные метрики</w:t>
        <w:tab/>
      </w:r>
      <w:r>
        <w:rPr>
          <w:rFonts w:cs="Times New Roman"/>
          <w:sz w:val="28"/>
        </w:rPr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6 Обсуждение результатов</w:t>
        <w:tab/>
      </w:r>
      <w:r>
        <w:rPr>
          <w:rFonts w:cs="Times New Roman"/>
          <w:sz w:val="28"/>
        </w:rPr>
        <w:t>17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ЗАКЛЮЧЕНИЕ</w:t>
        <w:tab/>
      </w:r>
      <w:r>
        <w:rPr>
          <w:rFonts w:cs="Times New Roman"/>
          <w:sz w:val="28"/>
        </w:rPr>
        <w:t>20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start="0"/>
        <w:jc w:val="start"/>
        <w:rPr/>
      </w:pPr>
      <w:r>
        <w:rPr>
          <w:rFonts w:cs="Times New Roman"/>
          <w:b w:val="false"/>
          <w:color w:val="000000"/>
          <w:sz w:val="28"/>
        </w:rPr>
        <w:t>СПИСОК ИСПОЛЬЗОВАННЫХ ИСТОЧНИКОВ</w:t>
        <w:tab/>
      </w:r>
      <w:r>
        <w:rPr>
          <w:rFonts w:cs="Times New Roman"/>
          <w:sz w:val="28"/>
        </w:rPr>
        <w:t>21</w:t>
      </w:r>
      <w:r>
        <w:br w:type="page"/>
      </w:r>
    </w:p>
    <w:p>
      <w:pPr>
        <w:pStyle w:val="Normal"/>
        <w:spacing w:lineRule="auto" w:line="360" w:before="0" w:after="0"/>
        <w:ind w:start="0" w:end="0"/>
        <w:jc w:val="center"/>
        <w:rPr>
          <w:sz w:val="20"/>
          <w:szCs w:val="20"/>
        </w:rPr>
      </w:pPr>
      <w:r>
        <w:rPr>
          <w:rFonts w:cs="Times New Roman"/>
          <w:b/>
          <w:color w:val="000000"/>
          <w:sz w:val="28"/>
        </w:rPr>
        <w:t>ВВЕДЕНИЕ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i w:val="false"/>
          <w:color w:val="000000"/>
          <w:sz w:val="28"/>
        </w:rPr>
        <w:t>Настоящий отчёт подготовлен по итогам прохождения ознакомительной практики на кафедре автоматических систем Института искусственного интеллекта РТУ МИРЭА. Темой практической работы является сравнительный анализ линейной (LSA) и нелинейной (all-MiniLM-L6-v2) моделей векторного представления текста. В отчёте приведены характеристика места практики, теоретические основы рассматриваемых моделей, обзор источников, а также выполненное в рамках практики исследование с описанием моделей, методологии эксперимента и обсуждением полученных результатов.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задачах обработки естественного языка существуют два принципиально разных подхода к представлению смысла текста. Первый — латентно-семантический анализ (LSA), основанный на сингулярном разложении (SVD) терм-документной матрицы. Второй — модель на основе архитектуры трансформера (sentence-transformer all-MiniLM-L6-v2, далее — MiniLM), использующая механизм самовнимания. Переход между ними — это не просто смена инструмента, а переход от линейных матричных преобразований к нелинейным, что принципиально меняет алгебраические свойства получаемых векторных пространств.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Главным ограничением LSA является то, что вектор текста в этой модели вычисляется как линейная сумма векторов входящих в него слов. Такой подход игнорирует контекст, что приводит к проблеме полисемии: многозначные слова получают один фиксированный вектор независимо от окружения. Таким образом, LSA эффективно справляется с задачами тематического поиска, но не позволяет точно передать семантику там, где контекст принципиален.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Отличие MiniLM от LSA заключается в динамическом вычислении векторов слов: модель учитывает левый и правый контекст каждого слова, что позволяет корректно обрабатывать контекстно-зависимые явления — полисемию, отрицание и синтаксические зависимости. Это достигается за счёт механизма самовнимания, итеративно применяемого в 6 слоях MiniLM: на каждом слое вектор слова обновляется с учётом окружения. В результате векторное пространство MiniLM строится через последовательные нелинейные преобразования — что принципиально отличает его от линейного пространства LSA.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Цель настоящей работы — выявить математические основы семантической обработки текста путём сравнения алгебраических свойств векторных пространств линейной (LSA) и нелинейной (MiniLM) моделей. Сравнение проводится на основе численного эксперимента; основными метриками служат STS ρ, ARI, isotropy score (IS), effective rank (ER) и participation ratio (PR). Предполагается, что полученные результаты позволят показать связь между алгебраическими свойствами и качеством моделей: LSA будет конкурентоспособным при ограниченных вычислительных ресурсах, тогда как MiniLM будет демонстрировать преимущество в задачах, требующих учёта контекста.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b/>
          <w:bCs/>
          <w:i w:val="false"/>
          <w:color w:val="000000"/>
          <w:sz w:val="28"/>
          <w:szCs w:val="28"/>
        </w:rPr>
        <w:t>1 РТУ МИРЭА</w:t>
      </w:r>
    </w:p>
    <w:p>
      <w:pPr>
        <w:pStyle w:val="Normal"/>
        <w:keepNext w:val="true"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b/>
          <w:bCs/>
          <w:i w:val="false"/>
          <w:color w:val="000000"/>
          <w:sz w:val="28"/>
          <w:szCs w:val="28"/>
        </w:rPr>
        <w:t>1.1 Характеристика РТУ МИРЭА и кафедры автоматических систем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РТУ МИРЭА (Российский технологический университет) — технический университет, осуществляющий подготовку кадров для наукоёмких отраслей в области информационных технологий, автоматизации, робототехники, искусственного интеллекта, кибербезопасности и электроники. Университет ведёт историю от Московского института радиотехники, электроники и автоматики (МИРЭА), основанного в 1947 году; в 2015 году в результате реорганизации был образован Российский технологический университет. Образовательная модель строится на системе «вуз — базовая кафедра — базовое предприятие»: более 50 базовых кафедр при научно-исследовательских институтах РАН и высокотехнологичных корпорациях обеспечивают практическую составляющую подготовки и быструю адаптацию выпускников к производственным условиям.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Университет включает специализированные институты — Институт информационных технологий, Институт искусственного интеллекта, Институт кибербезопасности и цифровых технологий, Институт радиоэлектроники и информатики, Институт тонких химических технологий им. М.В. Ломоносова и другие, — а также мегалаборатории, технопарки и центры компетенций. Образовательная деятельность охватывает все уровни подготовки: от довузовского обучения до аспирантуры.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Институт искусственного интеллекта — одно из ключевых подразделений РТУ МИРЭА, преемник факультета кибернетики (переименован в 1983 году), преобразованного в Институт кибернетики в 2014 году и получившего современное название в 2021 году. В составе Института действует кафедра автоматических систем, обеспечивающая подготовку в области теории управления, систем реального времени и методов искусственного интеллекта. Кафедра также ведёт исследования по управлению сложными динамическими объектами, адаптивным системам и интеллектуальной диагностике.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Таким образом, РТУ МИРЭА и кафедра автоматических систем представляют собой развитую научно-образовательную среду, объединяющую классическую инженерную подготовку, фундаментальную науку и современные интеллектуальные технологии.</w:t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 Теоретическое введение</w:t>
      </w:r>
    </w:p>
    <w:p>
      <w:pPr>
        <w:pStyle w:val="Normal"/>
        <w:keepNext w:val="true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2.1 Векторное представление текста как задача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Обработка естественного языка опирается на перевод текста в числовую форму, пригодную для вычислений. Базовым способом такого перевода служит векторное представление: каждому слову, предложению или документу ставится в соответствие вектор в пространстве признаков, а близость текстов по смыслу выражается через геометрическую близость соответствующих векторов. От того, как именно строится это пространство, зависит, какие свойства языка модель способна уловить — тематику, синтаксис, контекст или многозначность слов. В настоящей работе рассматриваются два принципиально разных подхода к построению такого пространства: линейная модель латентно-семантического анализа (LSA) и нелинейная модель-трансформер all-MiniLM-L6-v2.</w:t>
      </w:r>
    </w:p>
    <w:p>
      <w:pPr>
        <w:pStyle w:val="Normal"/>
        <w:keepNext w:val="true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2.2 Латентно-семантический анализ (LSA)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Латентно-семантический анализ был предложен в работе Деервестера и соавторов [1] как метод индексирования и поиска текстов, устойчивый к синонимии и многозначности. В основе метода лежит построение терм-документной матрицы, в которой строкам соответствуют слова, а столбцам — документы, а к значениям частот применяется взвешивание TF-IDF. К этой матрице применяется сингулярное разложение (SVD), выделяющее ограниченное число латентных тем; сохранение только наибольших сингулярных значений даёт приближение матрицы пониженного ранга, в котором подавляется шум и обобщаются скрытые семантические связи между словами. Дальнейшее развитие метода показало его применимость к анализу и визуализации смысловой структуры текстов [2], а вероятностное обобщение идеи латентных тем было предложено в виде вероятностного латентно-семантического анализа (pLSA) [5], где скрытые темы трактуются как латентные переменные статистической модели.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Ключевая особенность LSA состоит в том, что итоговый вектор текста является результатом цепочки линейных преобразований и фактически представляет собой взвешенную сумму векторов входящих в него слов. Модель работает по принципу «мешка слов»: порядок слов и синтаксические связи игнорируются. Как следствие, многозначное слово получает единственный фиксированный вектор независимо от контекста, что ограничивает точность модели в задачах, где смысл определяется окружением слова.</w:t>
      </w:r>
    </w:p>
    <w:p>
      <w:pPr>
        <w:pStyle w:val="Normal"/>
        <w:keepNext w:val="true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2.3 Модели на основе архитектуры Transformer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Альтернативный подход возник с появлением архитектуры Transformer, предложенной в работе «Attention Is All You Need» [3]. Её центральным элементом является механизм самовнимания (self-attention), который позволяет при вычислении вектора каждого слова учитывать все остальные слова последовательности с разными весами. В отличие от LSA, представление слова здесь вычисляется динамически и зависит от контекста, а нелинейные функции активации внутри слоёв дают модели возможность улавливать сложные зависимости, недоступные линейным методам. На этой архитектуре построена модель BERT [4], которая за счёт двунаправленного предобучения формирует контекстно-зависимые представления слов: одно и то же слово в разных предложениях получает разные векторы. Роль двунаправленности при предобучении языковых моделей и её влияние на качество представлений исследуются, в частности, в работе [6].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Используемая в настоящей работе модель all-MiniLM-L6-v2 относится к семейству sentence-transformer и представляет собой компактный шестислойный трансформер, выдающий векторы предложений фиксированной размерности. Она наследует свойство контекстной зависимости представлений, что и обусловливает интерес к сравнению её векторного пространства с линейным пространством LSA.</w:t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3 Обзор источников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Привлечённые источники можно разделить на две группы, соответствующие двум сравниваемым подходам: работы по латентно-семантическому анализу и работы по архитектуре Transformer и контекстным представлениям.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Первую группу образуют основополагающие работы по LSA. В статье Деервестера и соавторов [1] метод латентно-семантического индексирования был впервые описан как способ преодоления синонимии и многозначности при информационном поиске; эта работа задаёт математическую основу LSA, используемую в настоящем исследовании. Работа Ландауэра и соавторов [2] демонстрирует применение LSA к анализу и визуализации смысловой структуры текста и подтверждает применимость метода за пределами задачи поиска. Работа Хофмана [5] предлагает вероятностное обобщение латентно-семантического анализа (pLSA), что показывает направление развития линейного подхода в сторону статистических моделей скрытых тем.</w:t>
      </w:r>
    </w:p>
    <w:p>
      <w:pPr>
        <w:pStyle w:val="Normal"/>
        <w:spacing w:lineRule="auto" w:line="360" w:before="0" w:after="0"/>
        <w:ind w:firstLine="709" w:start="0" w:end="0"/>
        <w:jc w:val="both"/>
        <w:rPr/>
      </w:pPr>
      <w:r>
        <w:rPr>
          <w:rFonts w:cs="Times New Roman"/>
          <w:b w:val="false"/>
          <w:color w:val="000000"/>
          <w:sz w:val="28"/>
        </w:rPr>
        <w:t>Вторую группу образуют работы по трансформерам и контекстным эмбеддингам. Статья Васвани и соавторов [3] вводит архитектуру Transformer и механизм масштабированного скалярного внимания, лежащий в основе модели MiniLM. Работа Девлина и соавторов [4] описывает модель BERT и принцип формирования контекстно-зависимых представлений за счёт двунаправленного предобучения. Работа Артеце и соавторов [6] анализирует роль двунаправленности в предобучении языковых моделей, что важно для понимания того, какие свойства данных и обучения обеспечивают качество нелинейных представлений.</w:t>
      </w:r>
    </w:p>
    <w:p>
      <w:pPr>
        <w:pStyle w:val="Normal"/>
        <w:spacing w:lineRule="auto" w:line="360" w:before="0" w:after="0"/>
        <w:ind w:firstLine="709" w:start="0" w:end="0"/>
        <w:jc w:val="both"/>
        <w:rPr/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/>
          <w:b w:val="false"/>
          <w:color w:val="000000"/>
          <w:sz w:val="28"/>
        </w:rPr>
        <w:t>Таким образом, рассмотренные источники в совокупности охватывают оба полюса сравнения — от линейной алгебраической модели LSA [1, 2, 5] до нелинейных контекстных моделей на основе Transformer [3, 4, 6] — и формируют теоретическую базу для проводимого далее сравнительного анализа. Полные библиографические описания источников приведены в списке источников научной статьи.</w:t>
      </w:r>
      <w:r>
        <w:br w:type="page"/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4 Математическое описание моделей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4.1 Латентно-семантический анализ (LSA)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Математический фундамент LSA строится на принципах линейной алгебры и статистического анализа частот слов. Процесс начинается с построения терм-документной матрицы X [1], где строки — уникальные слова, а столбцы — фрагменты текста (документы или параграфы). Каждая ячейка матрицы содержит частоту вхождения слова, которая для повышения точности подвергается TF-IDF (Term Frequency–Inverse Document Frequency):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TF</m:t>
          </m:r>
          <m:r>
            <m:t xml:space="preserve">(</m:t>
          </m:r>
          <m:r>
            <m:t xml:space="preserve">t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sSub>
                <m:e>
                  <m:r>
                    <m:t xml:space="preserve">n</m:t>
                  </m:r>
                </m:e>
                <m:sub>
                  <m:r>
                    <m:t xml:space="preserve">t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d</m:t>
                  </m:r>
                </m:sub>
              </m:sSub>
            </m:num>
            <m:den>
              <m:nary>
                <m:naryPr>
                  <m:chr m:val="∑"/>
                  <m:supHide m:val="1"/>
                </m:naryPr>
                <m:sub>
                  <m:r>
                    <m:t xml:space="preserve">k</m:t>
                  </m:r>
                </m:sub>
                <m:sup/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k</m:t>
                      </m:r>
                      <m:r>
                        <m:t xml:space="preserve">,</m:t>
                      </m:r>
                      <m:r>
                        <m:rPr>
                          <m:lit/>
                          <m:nor/>
                        </m:rPr>
                        <m:t xml:space="preserve"> </m:t>
                      </m:r>
                      <m:r>
                        <m:t xml:space="preserve">d</m:t>
                      </m:r>
                    </m:sub>
                  </m:sSub>
                </m:e>
              </m:nary>
            </m:den>
          </m:f>
        </m:oMath>
      </m:oMathPara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IDF</m:t>
          </m:r>
          <m:r>
            <m:t xml:space="preserve">(</m:t>
          </m:r>
          <m:r>
            <m:t xml:space="preserve">t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log</m:t>
          </m:r>
          <m:r>
            <m:rPr>
              <m:lit/>
              <m:nor/>
            </m:rPr>
            <m:t xml:space="preserve"> </m:t>
          </m:r>
          <m:f>
            <m:num>
              <m:r>
                <m:rPr>
                  <m:lit/>
                  <m:nor/>
                </m:rPr>
                <m:t xml:space="preserve">|</m:t>
              </m:r>
              <m:r>
                <m:t xml:space="preserve">D</m:t>
              </m:r>
              <m:r>
                <m:rPr>
                  <m:lit/>
                  <m:nor/>
                </m:rPr>
                <m:t xml:space="preserve">|</m:t>
              </m:r>
            </m:num>
            <m:den>
              <m:r>
                <m:rPr>
                  <m:lit/>
                  <m:nor/>
                </m:rPr>
                <m:t xml:space="preserve">|</m:t>
              </m:r>
              <m:r>
                <m:t xml:space="preserve">{</m:t>
              </m:r>
              <m:r>
                <m:t xml:space="preserve">d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∈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: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∈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d</m:t>
              </m:r>
              <m:r>
                <m:t xml:space="preserve">}</m:t>
              </m:r>
              <m:r>
                <m:rPr>
                  <m:lit/>
                  <m:nor/>
                </m:rPr>
                <m:t xml:space="preserve">|</m:t>
              </m:r>
            </m:den>
          </m:f>
        </m:oMath>
      </m:oMathPara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TF</m:t>
          </m:r>
          <m:r>
            <m:rPr>
              <m:lit/>
              <m:nor/>
            </m:rPr>
            <m:t xml:space="preserve">-</m:t>
          </m:r>
          <m:r>
            <m:t xml:space="preserve">IDF</m:t>
          </m:r>
          <m:r>
            <m:t xml:space="preserve">(</m:t>
          </m:r>
          <m:r>
            <m:t xml:space="preserve">t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TF</m:t>
          </m:r>
          <m:r>
            <m:t xml:space="preserve">(</m:t>
          </m:r>
          <m:r>
            <m:t xml:space="preserve">t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t xml:space="preserve">×</m:t>
          </m:r>
          <m:r>
            <m:rPr>
              <m:lit/>
              <m:nor/>
            </m:rPr>
            <m:t xml:space="preserve"> </m:t>
          </m:r>
          <m:r>
            <m:t xml:space="preserve">IDF</m:t>
          </m:r>
          <m:r>
            <m:t xml:space="preserve">(</m:t>
          </m:r>
          <m:r>
            <m:t xml:space="preserve">t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t xml:space="preserve">)</m:t>
          </m:r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Это позволяет снизить значимость общеупотребительных слов и выделить специфические термины.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Центральным инструментом LSA является сингулярное разложение (SVD) [2], которое раскладывает исходную матрицу X на произведение трёх матриц: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UΣ</m:t>
          </m:r>
          <m:sSup>
            <m:e>
              <m:r>
                <m:t xml:space="preserve">V</m:t>
              </m:r>
            </m:e>
            <m:sup>
              <m:r>
                <m:t xml:space="preserve">T</m:t>
              </m:r>
            </m:sup>
          </m:sSup>
        </m:oMath>
      </m:oMathPara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/>
      </w:r>
      <m:oMath xmlns:m="http://schemas.openxmlformats.org/officeDocument/2006/math">
        <m:r>
          <m:t xml:space="preserve">U</m:t>
        </m:r>
        <m:r>
          <m:rPr>
            <m:lit/>
            <m:nor/>
          </m:rPr>
          <m:t xml:space="preserve"> </m:t>
        </m:r>
        <m:r>
          <m:t xml:space="preserve">∈</m:t>
        </m:r>
        <m:r>
          <m:rPr>
            <m:lit/>
            <m:nor/>
          </m:rPr>
          <m:t xml:space="preserve"> </m:t>
        </m:r>
        <m:sSup>
          <m:e>
            <m:r>
              <m:t xml:space="preserve">ℝ</m:t>
            </m:r>
          </m:e>
          <m:sup>
            <m:r>
              <m:t xml:space="preserve">m</m:t>
            </m:r>
            <m:r>
              <m:t xml:space="preserve">×</m:t>
            </m:r>
            <m:r>
              <m:t xml:space="preserve">k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>: матрица, столбцы которой задают латентные темы в пространстве слов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/>
      </w:r>
      <m:oMath xmlns:m="http://schemas.openxmlformats.org/officeDocument/2006/math">
        <m:r>
          <m:t xml:space="preserve">Σ</m:t>
        </m:r>
        <m:r>
          <m:rPr>
            <m:lit/>
            <m:nor/>
          </m:rPr>
          <m:t xml:space="preserve"> </m:t>
        </m:r>
        <m:r>
          <m:t xml:space="preserve">∈</m:t>
        </m:r>
        <m:r>
          <m:rPr>
            <m:lit/>
            <m:nor/>
          </m:rPr>
          <m:t xml:space="preserve"> </m:t>
        </m:r>
        <m:sSup>
          <m:e>
            <m:r>
              <m:t xml:space="preserve">ℝ</m:t>
            </m:r>
          </m:e>
          <m:sup>
            <m:r>
              <m:t xml:space="preserve">k</m:t>
            </m:r>
            <m:r>
              <m:t xml:space="preserve">×</m:t>
            </m:r>
            <m:r>
              <m:t xml:space="preserve">k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>: диагональная матрица сингулярных значений, упорядоченных по убыванию; каждое значение отражает важность соответствующей латентной темы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/>
      </w:r>
      <m:oMath xmlns:m="http://schemas.openxmlformats.org/officeDocument/2006/math">
        <m:sSup>
          <m:e>
            <m:r>
              <m:t xml:space="preserve">V</m:t>
            </m:r>
          </m:e>
          <m:sup>
            <m:r>
              <m:t xml:space="preserve">T</m:t>
            </m:r>
          </m:sup>
        </m:sSup>
        <m:r>
          <m:rPr>
            <m:lit/>
            <m:nor/>
          </m:rPr>
          <m:t xml:space="preserve"> </m:t>
        </m:r>
        <m:r>
          <m:t xml:space="preserve">∈</m:t>
        </m:r>
        <m:r>
          <m:rPr>
            <m:lit/>
            <m:nor/>
          </m:rPr>
          <m:t xml:space="preserve"> </m:t>
        </m:r>
        <m:sSup>
          <m:e>
            <m:r>
              <m:t xml:space="preserve">ℝ</m:t>
            </m:r>
          </m:e>
          <m:sup>
            <m:r>
              <m:t xml:space="preserve">k</m:t>
            </m:r>
            <m:r>
              <m:t xml:space="preserve">×</m:t>
            </m:r>
            <m:r>
              <m:t xml:space="preserve">n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>: матрица, строки которой задают координаты документов в пространстве латентных тем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LSA строит приближение матрицы X ранга k, оставляя только k наибольших сингулярных значений и соответствующие им столбцы U и строки </w:t>
      </w:r>
      <w:r>
        <w:rPr/>
      </w:r>
      <m:oMath xmlns:m="http://schemas.openxmlformats.org/officeDocument/2006/math">
        <m:sSup>
          <m:e>
            <m:r>
              <m:t xml:space="preserve">V</m:t>
            </m:r>
          </m:e>
          <m:sup>
            <m:r>
              <m:t xml:space="preserve">T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 xml:space="preserve">. По теореме Эккарта–Янга такое приближение минимизирует норму Фробениуса ошибки </w:t>
      </w:r>
      <w:r>
        <w:rPr/>
      </w:r>
      <m:oMath xmlns:m="http://schemas.openxmlformats.org/officeDocument/2006/math">
        <m:sSub>
          <m:e>
            <m:r>
              <m:t xml:space="preserve">‖</m:t>
            </m:r>
            <m:r>
              <m:t xml:space="preserve">X</m:t>
            </m:r>
            <m:r>
              <m:rPr>
                <m:lit/>
                <m:nor/>
              </m:rPr>
              <m:t xml:space="preserve"> </m:t>
            </m:r>
            <m:r>
              <m:t xml:space="preserve">−</m:t>
            </m:r>
            <m:r>
              <m:rPr>
                <m:lit/>
                <m:nor/>
              </m:rPr>
              <m:t xml:space="preserve"> </m:t>
            </m:r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  <m:r>
              <m:t xml:space="preserve">‖</m:t>
            </m:r>
          </m:e>
          <m:sub>
            <m:r>
              <m:t xml:space="preserve">F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>: никакая другая матрица ранга k не даст меньшую ошибку. Интуитивно это аналогично сжатию: мы сохраняем основные темы и отбрасываем шум.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Вектор нового документа получается как линейная проекция его TF-IDF вектора в латентное пространство: </w:t>
      </w:r>
      <w:r>
        <w:rPr/>
      </w:r>
      <m:oMath xmlns:m="http://schemas.openxmlformats.org/officeDocument/2006/math">
        <m:r>
          <m:t xml:space="preserve">z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r>
          <m:t xml:space="preserve">x</m:t>
        </m:r>
        <m:r>
          <m:rPr>
            <m:lit/>
            <m:nor/>
          </m:rPr>
          <m:t xml:space="preserve"> </m:t>
        </m:r>
        <m:r>
          <m:t xml:space="preserve">·</m:t>
        </m:r>
        <m:r>
          <m:rPr>
            <m:lit/>
            <m:nor/>
          </m:rPr>
          <m:t xml:space="preserve"> </m:t>
        </m:r>
        <m:sSub>
          <m:e>
            <m:r>
              <m:t xml:space="preserve">V</m:t>
            </m:r>
          </m:e>
          <m:sub>
            <m:r>
              <m:t xml:space="preserve">k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, где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k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первые k правых сингулярных векторов. Вся операция — от TF-IDF до проекции — является цепочкой линейных преобразований. Это главное ограничение LSA: модель работает по принципу «мешка слов» (bag-of-words), полностью игнорируя порядок слов и синтаксические связи.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Косинусное сходство. </w:t>
      </w:r>
      <w:r>
        <w:rPr>
          <w:rFonts w:cs="Times New Roman"/>
          <w:b w:val="false"/>
          <w:color w:val="000000"/>
          <w:sz w:val="28"/>
          <w:szCs w:val="20"/>
        </w:rPr>
        <w:t xml:space="preserve">После L2-нормализации эмбеддингов </w:t>
      </w:r>
      <w:r>
        <w:rPr/>
      </w:r>
      <m:oMath xmlns:m="http://schemas.openxmlformats.org/officeDocument/2006/math">
        <m:sSub>
          <m:e>
            <m:r>
              <m:t xml:space="preserve">v̂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f>
          <m:num>
            <m:sSub>
              <m:e>
                <m:r>
                  <m:t xml:space="preserve">v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‖</m:t>
                </m:r>
                <m:sSub>
                  <m:e>
                    <m:r>
                      <m:t xml:space="preserve">v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‖</m:t>
                </m:r>
              </m:e>
              <m:sub>
                <m:r>
                  <m:t xml:space="preserve">2</m:t>
                </m:r>
              </m:sub>
            </m:sSub>
          </m:den>
        </m:f>
      </m:oMath>
      <w:r>
        <w:rPr>
          <w:rFonts w:cs="Times New Roman"/>
          <w:b w:val="false"/>
          <w:color w:val="000000"/>
          <w:sz w:val="28"/>
          <w:szCs w:val="20"/>
        </w:rPr>
        <w:t xml:space="preserve"> мерой близости двух документов служит косинус угла между ними: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(</m:t>
          </m:r>
          <m:sSub>
            <m:e>
              <m:r>
                <m:t xml:space="preserve">v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v</m:t>
              </m:r>
            </m:e>
            <m:sub>
              <m:r>
                <m:t xml:space="preserve">j</m:t>
              </m:r>
            </m:sub>
          </m:sSub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sSup>
            <m:e>
              <m:sSub>
                <m:e>
                  <m:r>
                    <m:t xml:space="preserve">v̂</m:t>
                  </m:r>
                </m:e>
                <m:sub>
                  <m:r>
                    <m:t xml:space="preserve">i</m:t>
                  </m:r>
                </m:sub>
              </m:sSub>
            </m:e>
            <m:sup>
              <m:r>
                <m:t xml:space="preserve">⊤</m:t>
              </m:r>
            </m:sup>
          </m:sSup>
          <m:sSub>
            <m:e>
              <m:r>
                <m:t xml:space="preserve">v̂</m:t>
              </m:r>
            </m:e>
            <m:sub>
              <m:r>
                <m:t xml:space="preserve">j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cos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θ</m:t>
              </m:r>
            </m:e>
            <m:sub>
              <m:r>
                <m:t xml:space="preserve">ij</m:t>
              </m:r>
            </m:sub>
          </m:sSub>
        </m:oMath>
      </m:oMathPara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4.2 Модель all-MiniLM-L6-v2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отличие от линейной аппроксимации LSA, all-MiniLM-L6-v2 (далее — MiniLM) основан на многослойной архитектуре Transformer, использующей механизмы внимания для динамического вычисления контекста. Основным математическим компонентом является Scaled Dot-Product Attention [3]: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Attention</m:t>
          </m:r>
          <m:r>
            <m:t xml:space="preserve">(</m:t>
          </m:r>
          <m:r>
            <m:t xml:space="preserve">Q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K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V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softmax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Q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 xml:space="preserve">d</m:t>
                          </m:r>
                        </m:e>
                        <m:sub>
                          <m:r>
                            <m:t xml:space="preserve">k</m:t>
                          </m:r>
                        </m:sub>
                      </m:sSub>
                    </m:e>
                  </m:rad>
                </m:den>
              </m:f>
            </m:e>
          </m:d>
          <m:r>
            <m:t xml:space="preserve">V</m:t>
          </m:r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Q, K, V — матрицы запросов, ключей и значений, а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k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размерность векторов.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Модель состоит из 6 слоёв. На каждом слое вектор каждого токена обновляется с учётом всех остальных токенов через механизм внимания, а затем проходит через полносвязную сеть (FFN) с нелинейной функцией активации GELU: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FFN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GELU</m:t>
          </m:r>
          <m:r>
            <m:t xml:space="preserve">(</m:t>
          </m:r>
          <m:r>
            <m:t xml:space="preserve">x</m:t>
          </m:r>
          <m:sSub>
            <m:e>
              <m:r>
                <m:t xml:space="preserve">W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b</m:t>
              </m:r>
            </m:e>
            <m:sub>
              <m:r>
                <m:t xml:space="preserve">1</m:t>
              </m:r>
            </m:sub>
          </m:sSub>
          <m:r>
            <m:t xml:space="preserve">)</m:t>
          </m:r>
          <m:sSub>
            <m:e>
              <m:r>
                <m:t xml:space="preserve">W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b</m:t>
              </m:r>
            </m:e>
            <m:sub>
              <m:r>
                <m:t xml:space="preserve">2</m:t>
              </m:r>
            </m:sub>
          </m:sSub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Именно нелинейность активации позволяет модели улавливать сложные зависимости, недоступные линейным методам. В результате каждое слово получает контекстно-зависимый вектор [4]: одно и то же слово в разных предложениях будет представлено по-разному.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Вектор предложения размерности d = 384 вычисляется как среднее арифметическое векторов всех токенов (mean pooling с учётом маски внимания), после чего нормализуется по L2-норме.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 Методология численного эксперимента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5.1 Цель эксперимента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Эксперимент направлен на проверку гипотезы о том, что алгебраические свойства модели (линейность LSA и нелинейность MiniLM) определяют геометрию её векторного пространства и, как следствие, сильные и слабые стороны на различных задачах. Проверка осуществляется посредством интринсивных и экстринсивных метрик, описанных в разделах «Интринсивные метрики» и «Экстринсивные метрики».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5.2 Спецификация моделей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ind w:start="0" w:end="0"/>
        <w:jc w:val="start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Таблица 1 – Спецификация моделей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3198"/>
        <w:gridCol w:w="6440"/>
      </w:tblGrid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Параметры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LSA-конвейер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TF-IDF</w:t>
            </w:r>
          </w:p>
        </w:tc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sublinear_tf=True, min_df=2, max_df=0.95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TruncatedSVD</w:t>
            </w:r>
          </w:p>
        </w:tc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k ∈ {50, 100, 200, 300, 500}, random_state=42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Нормализация</w:t>
            </w:r>
          </w:p>
        </w:tc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L2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all-MiniLM-L6-v2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Архитектура</w:t>
            </w:r>
          </w:p>
        </w:tc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6 слоёв, d = 384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Агрегация</w:t>
            </w:r>
          </w:p>
        </w:tc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Mean pooling с маской внимания</w:t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Нормализация</w:t>
            </w:r>
          </w:p>
        </w:tc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L2</w:t>
            </w:r>
          </w:p>
        </w:tc>
      </w:tr>
    </w:tbl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5.3 Датасеты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i w:val="false"/>
          <w:color w:val="000000"/>
          <w:sz w:val="28"/>
          <w:szCs w:val="20"/>
        </w:rPr>
        <w:t>STS Benchmark (STSb)</w:t>
      </w:r>
      <w:r>
        <w:rPr>
          <w:rFonts w:cs="Times New Roman"/>
          <w:b w:val="false"/>
          <w:i w:val="false"/>
          <w:color w:val="000000"/>
          <w:sz w:val="28"/>
          <w:szCs w:val="20"/>
        </w:rPr>
        <w:t xml:space="preserve"> — стандартный корпус из 8 628 пар предложений с оценками семантической близости от 0 до 5. Используется тестовая часть (1 379 пар).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i w:val="false"/>
          <w:color w:val="000000"/>
          <w:sz w:val="28"/>
          <w:szCs w:val="20"/>
        </w:rPr>
        <w:t>20 Newsgroups</w:t>
      </w:r>
      <w:r>
        <w:rPr>
          <w:rFonts w:cs="Times New Roman"/>
          <w:b w:val="false"/>
          <w:i w:val="false"/>
          <w:color w:val="000000"/>
          <w:sz w:val="28"/>
          <w:szCs w:val="20"/>
        </w:rPr>
        <w:t xml:space="preserve"> — коллекция новостных постов из 20 тематических категорий. Используются все 20 категорий. Набор содержит как тематически близкие группы (sci.*, rec.sport.*), так и контрастные (alt.atheism, rec.sport.hockey), что позволяет проверить, насколько хорошо модель разделяет как далёкие, так и смежные темы.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i w:val="false"/>
          <w:color w:val="000000"/>
          <w:sz w:val="28"/>
          <w:szCs w:val="20"/>
        </w:rPr>
        <w:t>MRPC</w:t>
      </w:r>
      <w:r>
        <w:rPr>
          <w:rFonts w:cs="Times New Roman"/>
          <w:b w:val="false"/>
          <w:i w:val="false"/>
          <w:color w:val="000000"/>
          <w:sz w:val="28"/>
          <w:szCs w:val="20"/>
        </w:rPr>
        <w:t xml:space="preserve"> — корпус из 5 801 пары предложений с бинарными метками парафраз (3 900 — парафразы, 1 901 — не парафразы).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 Интринсивные метрики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Данные метрики характеризуют геометрию пространства эмбеддингов независимо от конкретной прикладной задачи.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5.4.1 Participation Ratio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PR</m:t>
          </m:r>
          <m:r>
            <m:t xml:space="preserve">(</m:t>
          </m:r>
          <m:r>
            <m:t xml:space="preserve">E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sSup>
                <m:e>
                  <m:d>
                    <m:dPr>
                      <m:begChr m:val="("/>
                      <m:endChr m:val=")"/>
                    </m:dPr>
                    <m:e>
                      <m:nary>
                        <m:naryPr>
                          <m:chr m:val="∑"/>
                          <m:supHide m:val="1"/>
                        </m:naryPr>
                        <m:sub>
                          <m:r>
                            <m:t xml:space="preserve">i</m:t>
                          </m:r>
                        </m:sub>
                        <m:sup/>
                        <m:e>
                          <m:sSub>
                            <m:e>
                              <m:r>
                                <m:t xml:space="preserve">λ</m:t>
                              </m:r>
                            </m:e>
                            <m:sub>
                              <m:r>
                                <m:t xml:space="preserve"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t xml:space="preserve">2</m:t>
                  </m:r>
                </m:sup>
              </m:sSup>
            </m:num>
            <m:den>
              <m:nary>
                <m:naryPr>
                  <m:chr m:val="∑"/>
                  <m:supHide m:val="1"/>
                </m:naryPr>
                <m:sub>
                  <m:r>
                    <m:t xml:space="preserve">i</m:t>
                  </m:r>
                </m:sub>
                <m:sup/>
                <m:e>
                  <m:sSubSup>
                    <m:e>
                      <m:r>
                        <m:t xml:space="preserve">λ</m:t>
                      </m:r>
                    </m:e>
                    <m:sub>
                      <m:r>
                        <m:t xml:space="preserve">i</m:t>
                      </m:r>
                    </m:sub>
                    <m:sup>
                      <m:r>
                        <m:t xml:space="preserve">2</m:t>
                      </m:r>
                    </m:sup>
                  </m:sSubSup>
                </m:e>
              </m:nary>
            </m:den>
          </m:f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m:t xml:space="preserve">λ</m:t>
            </m:r>
          </m:e>
          <m:sub>
            <m: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собственные значения матрицы ковариаций </w:t>
      </w:r>
      <w:r>
        <w:rPr/>
      </w:r>
      <m:oMath xmlns:m="http://schemas.openxmlformats.org/officeDocument/2006/math">
        <m:r>
          <m:t xml:space="preserve">C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  <m:sSup>
          <m:e>
            <m:r>
              <m:t xml:space="preserve">E</m:t>
            </m:r>
          </m:e>
          <m:sup>
            <m:r>
              <m:t xml:space="preserve">⊤</m:t>
            </m:r>
          </m:sup>
        </m:sSup>
        <m:r>
          <m:t xml:space="preserve">E</m:t>
        </m:r>
      </m:oMath>
      <w:r>
        <w:rPr>
          <w:rFonts w:cs="Times New Roman"/>
          <w:b w:val="false"/>
          <w:color w:val="000000"/>
          <w:sz w:val="28"/>
          <w:szCs w:val="20"/>
        </w:rPr>
        <w:t xml:space="preserve"> (после вычитания среднего), </w:t>
      </w:r>
      <w:r>
        <w:rPr/>
      </w:r>
      <m:oMath xmlns:m="http://schemas.openxmlformats.org/officeDocument/2006/math">
        <m:r>
          <m:t xml:space="preserve">E</m:t>
        </m:r>
        <m:r>
          <m:rPr>
            <m:lit/>
            <m:nor/>
          </m:rPr>
          <m:t xml:space="preserve"> </m:t>
        </m:r>
        <m:r>
          <m:t xml:space="preserve">∈</m:t>
        </m:r>
        <m:r>
          <m:rPr>
            <m:lit/>
            <m:nor/>
          </m:rPr>
          <m:t xml:space="preserve"> </m:t>
        </m:r>
        <m:sSup>
          <m:e>
            <m:r>
              <m:t xml:space="preserve">ℝ</m:t>
            </m:r>
          </m:e>
          <m:sup>
            <m:r>
              <m:t xml:space="preserve">n</m:t>
            </m:r>
            <m:r>
              <m:t xml:space="preserve">×</m:t>
            </m:r>
            <m:r>
              <m:t xml:space="preserve">d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 xml:space="preserve"> — матрица эмбеддингов. Высокий PR означает, что дисперсия распределена по многим направлениям, а не сосредоточена в нескольких главных компонентах. PR чувствителен прежде всего к крупным компонентам спектра.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5.4.2 Effective Rank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ER</m:t>
          </m:r>
          <m:r>
            <m:t xml:space="preserve">(</m:t>
          </m:r>
          <m:r>
            <m:t xml:space="preserve">E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exp</m:t>
          </m:r>
          <m:d>
            <m:dPr>
              <m:begChr m:val="("/>
              <m:endChr m:val=")"/>
            </m:dPr>
            <m:e>
              <m:r>
                <m:t xml:space="preserve">−</m:t>
              </m:r>
              <m:nary>
                <m:naryPr>
                  <m:chr m:val="∑"/>
                  <m:supHide m:val="1"/>
                </m:naryPr>
                <m:sub>
                  <m:r>
                    <m:t xml:space="preserve">i</m:t>
                  </m:r>
                </m:sub>
                <m:sup/>
                <m:e>
                  <m:sSub>
                    <m:e>
                      <m:r>
                        <m:t xml:space="preserve">p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log</m:t>
                  </m:r>
                  <m:r>
                    <m:rPr>
                      <m:lit/>
                      <m:nor/>
                    </m:rPr>
                    <m:t xml:space="preserve"> </m:t>
                  </m:r>
                  <m:sSub>
                    <m:e>
                      <m:r>
                        <m:t xml:space="preserve">p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</m:nary>
            </m:e>
          </m:d>
          <m:r>
            <m:t xml:space="preserve">,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p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sSub>
                <m:e>
                  <m:r>
                    <m:t xml:space="preserve">σ</m:t>
                  </m:r>
                </m:e>
                <m:sub>
                  <m:r>
                    <m:t xml:space="preserve">i</m:t>
                  </m:r>
                </m:sub>
              </m:sSub>
            </m:num>
            <m:den>
              <m:nary>
                <m:naryPr>
                  <m:chr m:val="∑"/>
                  <m:supHide m:val="1"/>
                </m:naryPr>
                <m:sub>
                  <m:r>
                    <m:t xml:space="preserve">j</m:t>
                  </m:r>
                </m:sub>
                <m:sup/>
                <m:e>
                  <m:sSub>
                    <m:e>
                      <m:r>
                        <m:t xml:space="preserve">σ</m:t>
                      </m:r>
                    </m:e>
                    <m:sub>
                      <m:r>
                        <m:t xml:space="preserve"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m:t xml:space="preserve">σ</m:t>
            </m:r>
          </m:e>
          <m:sub>
            <m: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сингулярные числа E, </w:t>
      </w:r>
      <w:r>
        <w:rPr/>
      </w:r>
      <m:oMath xmlns:m="http://schemas.openxmlformats.org/officeDocument/2006/math"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нормированные веса, задающие дискретное распределение. ER есть экспонента энтропии Шеннона спектра сингулярных чисел; достигает максимума при равномерном распределении. В отличие от PR, ER учитывает весь спектр, включая малые компоненты, и поэтому обычно даёт более высокие значения.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5.4.3 Isotropy Score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IS</m:t>
          </m:r>
          <m:r>
            <m:t xml:space="preserve">(</m:t>
          </m:r>
          <m:r>
            <m:t xml:space="preserve">E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r>
                <m:t xml:space="preserve">1</m:t>
              </m:r>
            </m:num>
            <m:den>
              <m:r>
                <m:rPr>
                  <m:lit/>
                  <m:nor/>
                </m:rPr>
                <m:t xml:space="preserve">|</m:t>
              </m:r>
              <m:r>
                <m:t xml:space="preserve">I</m:t>
              </m:r>
              <m:r>
                <m:rPr>
                  <m:lit/>
                  <m:nor/>
                </m:rPr>
                <m:t xml:space="preserve">|</m:t>
              </m:r>
            </m:den>
          </m:f>
          <m:nary>
            <m:naryPr>
              <m:chr m:val="∑"/>
              <m:supHide m:val="1"/>
            </m:naryPr>
            <m:sub>
              <m:r>
                <m:t xml:space="preserve">ω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∈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I</m:t>
              </m:r>
            </m:sub>
            <m:sup/>
            <m:e>
              <m:f>
                <m:num>
                  <m:sSub>
                    <m:e>
                      <m:r>
                        <m:t xml:space="preserve">min</m:t>
                      </m:r>
                    </m:e>
                    <m:sub>
                      <m:r>
                        <m:t xml:space="preserve">v</m:t>
                      </m:r>
                    </m:sub>
                  </m:sSub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exp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m:t xml:space="preserve">f</m:t>
                          </m:r>
                          <m:r>
                            <m:t xml:space="preserve">(</m:t>
                          </m:r>
                          <m:r>
                            <m:t xml:space="preserve">ω</m:t>
                          </m:r>
                          <m:r>
                            <m:t xml:space="preserve">)</m:t>
                          </m:r>
                        </m:e>
                        <m:sup>
                          <m:r>
                            <m:t xml:space="preserve">⊤</m:t>
                          </m:r>
                        </m:sup>
                      </m:sSup>
                      <m:r>
                        <m:t xml:space="preserve">v</m:t>
                      </m:r>
                    </m:e>
                  </m:d>
                </m:num>
                <m:den>
                  <m:sSub>
                    <m:e>
                      <m:r>
                        <m:t xml:space="preserve">max</m:t>
                      </m:r>
                    </m:e>
                    <m:sub>
                      <m:r>
                        <m:t xml:space="preserve">v</m:t>
                      </m:r>
                    </m:sub>
                  </m:sSub>
                  <m:r>
                    <m:rPr>
                      <m:lit/>
                      <m:nor/>
                    </m:rPr>
                    <m:t xml:space="preserve"> </m:t>
                  </m:r>
                  <m:r>
                    <m:t xml:space="preserve">exp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m:t xml:space="preserve">f</m:t>
                          </m:r>
                          <m:r>
                            <m:t xml:space="preserve">(</m:t>
                          </m:r>
                          <m:r>
                            <m:t xml:space="preserve">ω</m:t>
                          </m:r>
                          <m:r>
                            <m:t xml:space="preserve">)</m:t>
                          </m:r>
                        </m:e>
                        <m:sup>
                          <m:r>
                            <m:t xml:space="preserve">⊤</m:t>
                          </m:r>
                        </m:sup>
                      </m:sSup>
                      <m:r>
                        <m:t xml:space="preserve">v</m:t>
                      </m:r>
                    </m:e>
                  </m:d>
                </m:den>
              </m:f>
            </m:e>
          </m:nary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IS = 1 при идеальной изотропии (равномерном распределении на гиперсфере), IS → 0 при концентрации в низкоразмерном подпространстве. В вычислительной реализации используется аппроксимация </w:t>
      </w:r>
      <w:r>
        <w:rPr/>
      </w:r>
      <m:oMath xmlns:m="http://schemas.openxmlformats.org/officeDocument/2006/math">
        <m:r>
          <m:t xml:space="preserve">IS</m:t>
        </m:r>
        <m:r>
          <m:rPr>
            <m:lit/>
            <m:nor/>
          </m:rPr>
          <m:t xml:space="preserve"> </m:t>
        </m:r>
        <m:r>
          <m:t xml:space="preserve">≈</m:t>
        </m:r>
        <m:r>
          <m:rPr>
            <m:lit/>
            <m:nor/>
          </m:rPr>
          <m:t xml:space="preserve"> </m:t>
        </m:r>
        <m:f>
          <m:num>
            <m:sSub>
              <m:e>
                <m:r>
                  <m:t xml:space="preserve">λ</m:t>
                </m:r>
              </m:e>
              <m:sub>
                <m:r>
                  <m:t xml:space="preserve">min</m:t>
                </m:r>
              </m:sub>
            </m:sSub>
          </m:num>
          <m:den>
            <m:sSub>
              <m:e>
                <m:r>
                  <m:t xml:space="preserve">λ</m:t>
                </m:r>
              </m:e>
              <m:sub>
                <m:r>
                  <m:t xml:space="preserve">max</m:t>
                </m:r>
              </m:sub>
            </m:sSub>
          </m:den>
        </m:f>
      </m:oMath>
      <w:r>
        <w:rPr>
          <w:rFonts w:cs="Times New Roman"/>
          <w:b w:val="false"/>
          <w:color w:val="000000"/>
          <w:sz w:val="28"/>
          <w:szCs w:val="20"/>
        </w:rPr>
        <w:t>. IS — наиболее жёсткая из трёх метрик: достаточно одного слабого направления, чтобы IS оказался близок к нулю, даже если остальные направления используются равномерно.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5.4.4 Hubness Score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HS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f>
            <m:num>
              <m:sSub>
                <m:e>
                  <m:r>
                    <m:t xml:space="preserve">S</m:t>
                  </m:r>
                </m:e>
                <m:sub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sub>
              </m:sSub>
            </m:num>
            <m:den>
              <m:sSub>
                <m:e>
                  <m:r>
                    <m:t xml:space="preserve">μ</m:t>
                  </m:r>
                </m:e>
                <m:sub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m:t xml:space="preserve">S</m:t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k</m:t>
                </m:r>
              </m:sub>
            </m:sSub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стандартное отклонение, </w:t>
      </w:r>
      <w:r>
        <w:rPr/>
      </w:r>
      <m:oMath xmlns:m="http://schemas.openxmlformats.org/officeDocument/2006/math">
        <m:sSub>
          <m:e>
            <m:r>
              <m:t xml:space="preserve">μ</m:t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k</m:t>
                </m:r>
              </m:sub>
            </m:sSub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среднее числа вхождений точки в k-NN-списки. Значение HS ≫ 1 указывает на концентрацию структуры «хаббов»: точек в пространстве, которые оказывается ближайшим соседом для непропорционально большого числа других точек.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 Экстринсивные метрики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5.5.1 Семантическое сходство (STS)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Мерой качества служит корреляция Спирмена ρ между косинусным сходством эмбеддингов и человеческими оценками. Для выборки из n пар без связанных рангов коэффициент вычисляется как</w:t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ρ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1</m:t>
          </m:r>
          <m:r>
            <m:rPr>
              <m:lit/>
              <m:nor/>
            </m:rPr>
            <m:t xml:space="preserve"> </m:t>
          </m:r>
          <m:r>
            <m:t xml:space="preserve">−</m:t>
          </m:r>
          <m:r>
            <m:rPr>
              <m:lit/>
              <m:nor/>
            </m:rPr>
            <m:t xml:space="preserve"> </m:t>
          </m:r>
          <m:f>
            <m:num>
              <m:r>
                <m:t xml:space="preserve">6</m:t>
              </m:r>
              <m:nary>
                <m:naryPr>
                  <m:chr m:val="∑"/>
                </m:naryPr>
                <m:sub>
                  <m:r>
                    <m:t xml:space="preserve">i</m:t>
                  </m:r>
                  <m:r>
                    <m:rPr>
                      <m:lit/>
                      <m:nor/>
                    </m:rPr>
                    <m:t xml:space="preserve">=</m:t>
                  </m:r>
                  <m:r>
                    <m:t xml:space="preserve">1</m:t>
                  </m:r>
                </m:sub>
                <m:sup>
                  <m:r>
                    <m:t xml:space="preserve">n</m:t>
                  </m:r>
                </m:sup>
                <m:e>
                  <m:sSubSup>
                    <m:e>
                      <m:r>
                        <m:t xml:space="preserve">d</m:t>
                      </m:r>
                    </m:e>
                    <m:sub>
                      <m:r>
                        <m:t xml:space="preserve">i</m:t>
                      </m:r>
                    </m:sub>
                    <m:sup>
                      <m:r>
                        <m:t xml:space="preserve">2</m:t>
                      </m:r>
                    </m:sup>
                  </m:sSubSup>
                </m:e>
              </m:nary>
            </m:num>
            <m:den>
              <m:r>
                <m:t xml:space="preserve">n</m:t>
              </m:r>
              <m:r>
                <m:t xml:space="preserve">(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 </m:t>
              </m:r>
              <m:r>
                <m:t xml:space="preserve">−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1</m:t>
              </m:r>
              <m:r>
                <m:t xml:space="preserve">)</m:t>
              </m:r>
            </m:den>
          </m:f>
        </m:oMath>
      </m:oMathPara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m:t xml:space="preserve">d</m:t>
            </m:r>
          </m:e>
          <m:sub>
            <m: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разность рангов i-й пары.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5.5.2 Классификация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качестве классификатора используется логистическая регрессия (LogisticRegression, C=1.0, solver=lbfgs). Основной метрикой качества является доля верных предсказаний (Accuracy).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5.5.3 Кластеризация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Применяется алгоритм k-means (k = 20, 10 перезапусков). Качество оценивается метрикой Adjusted Rand Index (ARI), которая измеряет согласованность полученного разбиения с истинными тематическими метками с поправкой на случайное совпадение. Значение ARI = 1 соответствует идеальному совпадению, ARI ≈ 0 — случайному разбиению.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5.5.4 Обнаружение парафраз (MRPC)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Порог косинусного сходства τ используется как бинарный классификатор. Оптимальный </w:t>
      </w:r>
      <w:r>
        <w:rPr/>
      </w:r>
      <m:oMath xmlns:m="http://schemas.openxmlformats.org/officeDocument/2006/math">
        <m:sSup>
          <m:e>
            <m:r>
              <m:t xml:space="preserve">τ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 xml:space="preserve"> выбирается по валидационному множеству из 101 значения равномерной сетки на [0, 1]. Итоговая метрика — F1-score по положительному классу (парафразы), которая устойчивее к дисбалансу классов, чем Accuracy.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6 Обсуждение результатов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ind w:start="0" w:end="0"/>
        <w:jc w:val="start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Таблица 2 – Экстринсивные метрики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1998"/>
        <w:gridCol w:w="1912"/>
        <w:gridCol w:w="1910"/>
        <w:gridCol w:w="1907"/>
        <w:gridCol w:w="1911"/>
      </w:tblGrid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STS (ρ)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20NG (Acc)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ARI</w:t>
            </w:r>
          </w:p>
        </w:tc>
        <w:tc>
          <w:tcPr>
            <w:tcW w:w="1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MRPC (F1)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LSA k=300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0.56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0.673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0.17</w:t>
            </w:r>
          </w:p>
        </w:tc>
        <w:tc>
          <w:tcPr>
            <w:tcW w:w="1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0.817</w:t>
            </w:r>
          </w:p>
        </w:tc>
      </w:tr>
      <w:tr>
        <w:trPr/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MiniLM-L6-v2</w:t>
            </w:r>
          </w:p>
        </w:tc>
        <w:tc>
          <w:tcPr>
            <w:tcW w:w="1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0.82</w:t>
            </w:r>
          </w:p>
        </w:tc>
        <w:tc>
          <w:tcPr>
            <w:tcW w:w="1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0.703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0.37</w:t>
            </w:r>
          </w:p>
        </w:tc>
        <w:tc>
          <w:tcPr>
            <w:tcW w:w="1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0.835</w:t>
            </w:r>
          </w:p>
        </w:tc>
      </w:tr>
    </w:tbl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ind w:start="0" w:end="0"/>
        <w:jc w:val="start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Таблица 3 – Интринсивные метрики</w:t>
      </w:r>
    </w:p>
    <w:tbl>
      <w:tblPr>
        <w:tblW w:w="9638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2438"/>
        <w:gridCol w:w="1798"/>
        <w:gridCol w:w="1802"/>
        <w:gridCol w:w="1798"/>
        <w:gridCol w:w="1802"/>
      </w:tblGrid>
      <w:tr>
        <w:trPr/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HS</w:t>
            </w:r>
          </w:p>
        </w:tc>
      </w:tr>
      <w:tr>
        <w:trPr/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LSA k=300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198.60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284.93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0.0120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3.54</w:t>
            </w:r>
          </w:p>
        </w:tc>
      </w:tr>
      <w:tr>
        <w:trPr/>
        <w:tc>
          <w:tcPr>
            <w:tcW w:w="2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MiniLM-L6-v2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117.85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312.97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0.0011</w:t>
            </w:r>
          </w:p>
        </w:tc>
        <w:tc>
          <w:tcPr>
            <w:tcW w:w="1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1.77</w:t>
            </w:r>
          </w:p>
        </w:tc>
      </w:tr>
    </w:tbl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Семантическое сходство (STS). </w:t>
      </w:r>
      <w:r>
        <w:rPr>
          <w:rFonts w:cs="Times New Roman"/>
          <w:b w:val="false"/>
          <w:color w:val="000000"/>
          <w:sz w:val="28"/>
          <w:szCs w:val="20"/>
        </w:rPr>
        <w:t>MiniLM существенно превосходит LSA по корреляции Спирмена (ρ = 0.82 против 0.56 при k = 300). Это связано с тем, что эмбеддинги MiniLM строятся с учётом контекста: механизм внимания позволяет улавливать синтаксические и семантические зависимости между словами. LSA, работая по принципу «мешка слов», игнорирует структуру предложения вне зависимости от размерности k.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  <w:drawing>
          <wp:inline distT="0" distB="0" distL="0" distR="0">
            <wp:extent cx="3810000" cy="3190875"/>
            <wp:effectExtent l="0" t="0" r="0" b="0"/>
            <wp:docPr id="1" name="figs/fig1.jpg" descr="figs/fig1.jpg" title="figs/fi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s/fig1.jpg" descr="figs/fig1.jpg" title="figs/fig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start="0" w:end="0"/>
        <w:jc w:val="center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Рисунок 1 – Зависимость STS Spearman ρ от размерности k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Тематическая классификация (20NG). </w:t>
      </w:r>
      <w:r>
        <w:rPr>
          <w:rFonts w:cs="Times New Roman"/>
          <w:b w:val="false"/>
          <w:color w:val="000000"/>
          <w:sz w:val="28"/>
          <w:szCs w:val="20"/>
        </w:rPr>
        <w:t>Разрыв между моделями на задаче классификации значительно меньше (Acc = 0.703 у MiniLM против Acc = 0.673 у LSA при k = 300). Близкие значения Accuracy указывают на то, что обе модели работают сопоставимо на всех 20 категориях. LSA успешно справляется с распознаванием общей тематики по ключевым словам.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Кластеризация (20NG). </w:t>
      </w:r>
      <w:r>
        <w:rPr>
          <w:rFonts w:cs="Times New Roman"/>
          <w:b w:val="false"/>
          <w:color w:val="000000"/>
          <w:sz w:val="28"/>
          <w:szCs w:val="20"/>
        </w:rPr>
        <w:t>Наибольший разрыв между моделями обнаруживается в задаче кластеризации: ARI = 0.37 у MiniLM против 0.17 у LSA при k = 300. В отличие от классификации, кластеризация проводится без разметки и оценивает геометрическую структуру пространства напрямую — результат показывает, что LSA недостаточно хорошо разделяет темы геометрически.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Обнаружение парафраз (MRPC). </w:t>
      </w:r>
      <w:r>
        <w:rPr>
          <w:rFonts w:cs="Times New Roman"/>
          <w:b w:val="false"/>
          <w:color w:val="000000"/>
          <w:sz w:val="28"/>
          <w:szCs w:val="20"/>
        </w:rPr>
        <w:t>В задаче обнаружения парафраз разрыв незначительный: F1 = 0.835 у MiniLM против 0.817 у LSA при k = 300. Это связано с природой датасета: MRPC преимущественно содержит перефразировки новостных предложений, где ключевые слова совпадают, что оказывается достаточным для LSA.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  <w:drawing>
          <wp:inline distT="0" distB="0" distL="0" distR="0">
            <wp:extent cx="5715000" cy="2171700"/>
            <wp:effectExtent l="0" t="0" r="0" b="0"/>
            <wp:docPr id="2" name="figs/fig2.jpg" descr="figs/fig2.jpg" title="figs/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s/fig2.jpg" descr="figs/fig2.jpg" title="figs/fig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start="0" w:end="0"/>
        <w:jc w:val="center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Рисунок 2 – Тепловые карты косинусного сходства LSA (k=300) и all-MiniLM-L6-v2 (20NG, 20 классов)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Изотропия и прикладное качество. </w:t>
      </w:r>
      <w:r>
        <w:rPr>
          <w:rFonts w:cs="Times New Roman"/>
          <w:b w:val="false"/>
          <w:color w:val="000000"/>
          <w:sz w:val="28"/>
          <w:szCs w:val="20"/>
        </w:rPr>
        <w:t>Изотропия MiniLM крайне низкая (IS = 0.001, у LSA — 0.012), хотя результаты на прикладных задачах значительно выше. Это объясняется тем, что дисперсия в пространстве MiniLM сосредоточена в нескольких доминирующих направлениях, в которых и закодирована семантическая информация. Таким образом, IS отражает геометрическую равномерность пространства, но не качество представлений.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Effective Rank. </w:t>
      </w:r>
      <w:r>
        <w:rPr>
          <w:rFonts w:cs="Times New Roman"/>
          <w:b w:val="false"/>
          <w:color w:val="000000"/>
          <w:sz w:val="28"/>
          <w:szCs w:val="20"/>
        </w:rPr>
        <w:t>ER(LSA, k=300) = 284.93 сопоставим с ER(MiniLM) = 312.97, при этом PR(LSA) = 198.60 превышает PR(MiniLM) = 117.85. Это объясняется тем, что усечённое SVD отбирает k компонент с наибольшими сингулярными числами, которые в рамках усечённого подпространства становятся более равномерными. Высокие PR и ER, таким образом, не являются достаточным условием семантического качества.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120" w:after="120"/>
        <w:ind w:start="0" w:end="0"/>
        <w:jc w:val="center"/>
        <w:rPr>
          <w:sz w:val="20"/>
          <w:szCs w:val="20"/>
        </w:rPr>
      </w:pPr>
      <w:r>
        <w:rPr/>
        <w:drawing>
          <wp:inline distT="0" distB="0" distL="0" distR="0">
            <wp:extent cx="4286250" cy="2714625"/>
            <wp:effectExtent l="0" t="0" r="0" b="0"/>
            <wp:docPr id="3" name="figs/fig3.jpg" descr="figs/fig3.jpg" title="figs/fi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s/fig3.jpg" descr="figs/fig3.jpg" title="figs/fig3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start="0" w:end="0"/>
        <w:jc w:val="center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Рисунок 3 – Спектр сингулярных чисел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Hubness Score. </w:t>
      </w:r>
      <w:r>
        <w:rPr>
          <w:rFonts w:cs="Times New Roman"/>
          <w:b w:val="false"/>
          <w:color w:val="000000"/>
          <w:sz w:val="28"/>
          <w:szCs w:val="20"/>
        </w:rPr>
        <w:t>У LSA показатель HS = 3.54 заметно выше, чем у MiniLM (HS = 1.77). Это говорит о том, что в пространстве LSA есть отдельные точки, которые становятся ближайшими соседями для слишком большого числа других точек. В результате расстояния в пространстве LSA хуже отражают реальную близость текстов, что и проявляется в низком качестве на задачах кластеризации и STS.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start="0" w:end="0"/>
        <w:jc w:val="center"/>
        <w:rPr/>
      </w:pPr>
      <w:r>
        <w:rPr>
          <w:rFonts w:cs="Times New Roman"/>
          <w:b/>
          <w:i w:val="false"/>
          <w:color w:val="000000"/>
          <w:sz w:val="28"/>
        </w:rPr>
        <w:t>ЗАКЛЮЧЕНИЕ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данной статье было проведено сравнение двух моделей (LSA и MiniLM) по метрикам STS ρ, Accuracy, ARI, PR, ER, IS и HS. Сравнение производилось на датасетах STSb, 20 Newsgroups и MRPC. Результаты показывают различия геометрических свойств пространств и качества обеих моделей на практических задачах: более сфокусированные главные направления и превосходство в семантической обработке у MiniLM и равномерно распределённые направления без учёта контекста у LSA, что ограничивает её в обработке контекстно-зависимых явлений, таких как полисемия [5]. Двунаправленное контекстное предобучение MiniLM позволяет преодолеть это ограничение [6]. В задачах классификации и нахождения парафраз LSA сопоставима с MiniLM, так как эти задачи имеют ключевые слова и не требуют контекста. Вместе с тем сравнение имеет ограничения: MiniLM предобучен на большом корпусе, размерности моделей различаются, а каждый класс представлен одной моделью.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start="0" w:end="0"/>
        <w:jc w:val="center"/>
        <w:rPr/>
      </w:pPr>
      <w:r>
        <w:rPr>
          <w:rFonts w:cs="Times New Roman"/>
          <w:b/>
          <w:i w:val="false"/>
          <w:color w:val="000000"/>
          <w:sz w:val="28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1. Deerwester, S. Indexing by Latent Semantic Analysis / S. Deerwester, S. T. Dumais, G. W. Furnas, T. K. Landauer, R. Harshman // Journal of the American Society for Information Science. — 1990. — Vol. 41, no. 6. — P. 391–407.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2. Landauer, T. K. From paragraph to graph: Latent semantic analysis for information visualization / T. K. Landauer, D. Laham, M. Derr // Proceedings of the National Academy of Sciences. — 2004. — Vol. 101, no. suppl_1. — P. 5214–5219.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3. Vaswani, A. Attention Is All You Need / A. Vaswani, N. Shazeer, N. Parmar [et al.] // Advances in Neural Information Processing Systems. — 2017. — P. 5998–6008.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4. Devlin, J. BERT: Pre-training of Deep Bidirectional Transformers for Language Understanding / J. Devlin, M.-W. Chang, K. Lee, K. Toutanova // Proceedings of the 2019 Conference of the North American Chapter of the Association for Computational Linguistics: Human Language Technologies. — 2019. — Vol. 1. — P. 4171–4186.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5. Hofmann, T. Probabilistic Latent Semantic Analysis / T. Hofmann // Proceedings of the 15th Conference on Uncertainty in Artificial Intelligence (UAI'99). — 1999. — P. 289–296.</w:t>
      </w:r>
    </w:p>
    <w:p>
      <w:pPr>
        <w:pStyle w:val="Normal"/>
        <w:spacing w:lineRule="auto" w:line="360" w:before="0" w:after="0"/>
        <w:ind w:firstLine="709" w:start="0" w:end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6. Artetxe, M. On the Role of Bidirectionality in Language Model Pre-Training / M. Artetxe, J. Du, N. Goyal [et al.] // Findings of the Association for Computational Linguistics: EMNLP 2022. — 2022. — P. 3973–3985.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T Sans Expert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cs="Times New Roman"/>
        <w:b w:val="false"/>
        <w:i w:val="false"/>
        <w:color w:val="000000"/>
        <w:sz w:val="28"/>
        <w:szCs w:val="20"/>
      </w:rPr>
      <w:fldChar w:fldCharType="begin"/>
    </w:r>
    <w:r>
      <w:rPr>
        <w:rFonts w:cs="Times New Roman"/>
        <w:b w:val="false"/>
        <w:i w:val="false"/>
        <w:color w:val="000000"/>
        <w:sz w:val="28"/>
        <w:szCs w:val="20"/>
      </w:rPr>
      <w:instrText xml:space="preserve"> PAGE </w:instrText>
    </w:r>
    <w:r>
      <w:rPr>
        <w:rFonts w:cs="Times New Roman"/>
        <w:b w:val="false"/>
        <w:i w:val="false"/>
        <w:color w:val="000000"/>
        <w:sz w:val="28"/>
        <w:szCs w:val="20"/>
      </w:rPr>
      <w:fldChar w:fldCharType="separate"/>
    </w:r>
    <w:r>
      <w:rPr>
        <w:rFonts w:cs="Times New Roman"/>
        <w:b w:val="false"/>
        <w:i w:val="false"/>
        <w:color w:val="000000"/>
        <w:sz w:val="28"/>
        <w:szCs w:val="20"/>
      </w:rPr>
      <w:t>21</w:t>
    </w:r>
    <w:r>
      <w:rPr>
        <w:rFonts w:cs="Times New Roman"/>
        <w:b w:val="false"/>
        <w:i w:val="false"/>
        <w:color w:val="000000"/>
        <w:sz w:val="28"/>
        <w:szCs w:val="20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cs="Times New Roman"/>
        <w:b w:val="false"/>
        <w:i w:val="false"/>
        <w:color w:val="000000"/>
        <w:sz w:val="28"/>
        <w:szCs w:val="20"/>
      </w:rPr>
      <w:fldChar w:fldCharType="begin"/>
    </w:r>
    <w:r>
      <w:rPr>
        <w:rFonts w:cs="Times New Roman"/>
        <w:b w:val="false"/>
        <w:i w:val="false"/>
        <w:color w:val="000000"/>
        <w:sz w:val="28"/>
        <w:szCs w:val="20"/>
      </w:rPr>
      <w:instrText xml:space="preserve"> PAGE </w:instrText>
    </w:r>
    <w:r>
      <w:rPr>
        <w:rFonts w:cs="Times New Roman"/>
        <w:b w:val="false"/>
        <w:i w:val="false"/>
        <w:color w:val="000000"/>
        <w:sz w:val="28"/>
        <w:szCs w:val="20"/>
      </w:rPr>
      <w:fldChar w:fldCharType="separate"/>
    </w:r>
    <w:r>
      <w:rPr>
        <w:rFonts w:cs="Times New Roman"/>
        <w:b w:val="false"/>
        <w:i w:val="false"/>
        <w:color w:val="000000"/>
        <w:sz w:val="28"/>
        <w:szCs w:val="20"/>
      </w:rPr>
      <w:t>21</w:t>
    </w:r>
    <w:r>
      <w:rPr>
        <w:rFonts w:cs="Times New Roman"/>
        <w:b w:val="false"/>
        <w:i w:val="false"/>
        <w:color w:val="000000"/>
        <w:sz w:val="28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Style9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PT Sans Expert" w:hAnsi="PT Sans Expert" w:eastAsia="PT Sans Expert" w:cs="PT Sans Exper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/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21</Pages>
  <Words>2924</Words>
  <Characters>20083</Characters>
  <CharactersWithSpaces>22907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2026-06-02T05:52:33Z</dcterms:created>
  <dc:creator>Un-named</dc:creator>
  <dc:description/>
  <dc:language>en-US</dc:language>
  <cp:lastModifiedBy/>
  <dcterms:modified xsi:type="dcterms:W3CDTF">2026-06-03T16:00:57Z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